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0E14" w14:textId="159C61F2" w:rsidR="008C2C57" w:rsidRDefault="008C2C57" w:rsidP="008C2C57">
      <w:pPr>
        <w:pStyle w:val="Appendix2"/>
        <w:numPr>
          <w:ilvl w:val="0"/>
          <w:numId w:val="0"/>
        </w:numPr>
      </w:pPr>
      <w:bookmarkStart w:id="0" w:name="_Toc8060604"/>
      <w:bookmarkStart w:id="1" w:name="_GoBack"/>
      <w:bookmarkEnd w:id="1"/>
      <w:r>
        <w:t>Annex 07 - Rates and Prices</w:t>
      </w:r>
      <w:bookmarkEnd w:id="0"/>
    </w:p>
    <w:p w14:paraId="60E1BF99" w14:textId="77777777" w:rsidR="008C2C57" w:rsidRDefault="008C2C57" w:rsidP="008C2C57">
      <w:pPr>
        <w:pStyle w:val="BodyText"/>
      </w:pPr>
    </w:p>
    <w:tbl>
      <w:tblPr>
        <w:tblW w:w="1490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0"/>
        <w:gridCol w:w="1902"/>
        <w:gridCol w:w="4682"/>
        <w:gridCol w:w="3099"/>
        <w:gridCol w:w="103"/>
        <w:gridCol w:w="1258"/>
      </w:tblGrid>
      <w:tr w:rsidR="008C2C57" w:rsidRPr="001235F1" w14:paraId="0C367252" w14:textId="77777777" w:rsidTr="008C2C57">
        <w:trPr>
          <w:gridAfter w:val="2"/>
          <w:wAfter w:w="1363" w:type="dxa"/>
          <w:trHeight w:val="497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F804279" w14:textId="77777777" w:rsidR="008C2C57" w:rsidRPr="001235F1" w:rsidRDefault="008C2C57" w:rsidP="008F29A3">
            <w:pPr>
              <w:rPr>
                <w:b/>
                <w:bCs/>
                <w:color w:val="FFFFFF" w:themeColor="background1"/>
                <w:sz w:val="16"/>
              </w:rPr>
            </w:pPr>
            <w:r w:rsidRPr="001235F1">
              <w:rPr>
                <w:b/>
                <w:bCs/>
                <w:color w:val="FFFFFF" w:themeColor="background1"/>
                <w:sz w:val="16"/>
              </w:rPr>
              <w:t xml:space="preserve">Price Component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682F965" w14:textId="77777777" w:rsidR="008C2C57" w:rsidRPr="001235F1" w:rsidRDefault="008C2C57" w:rsidP="008F29A3">
            <w:pPr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Fee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9A65E92" w14:textId="77777777" w:rsidR="008C2C57" w:rsidRPr="001235F1" w:rsidRDefault="008C2C57" w:rsidP="008F29A3">
            <w:pPr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Calculation for total sum</w:t>
            </w:r>
            <w:r w:rsidRPr="001235F1">
              <w:rPr>
                <w:b/>
                <w:bCs/>
                <w:color w:val="FFFFFF" w:themeColor="background1"/>
                <w:sz w:val="16"/>
              </w:rPr>
              <w:t>: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14:paraId="2E8700CD" w14:textId="77777777" w:rsidR="008C2C57" w:rsidRPr="001235F1" w:rsidRDefault="008C2C57" w:rsidP="008F29A3">
            <w:pPr>
              <w:rPr>
                <w:b/>
                <w:bCs/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t>Total Sum</w:t>
            </w:r>
          </w:p>
        </w:tc>
      </w:tr>
      <w:tr w:rsidR="008C2C57" w:rsidRPr="001235F1" w14:paraId="00EFDE61" w14:textId="77777777" w:rsidTr="008C2C57">
        <w:trPr>
          <w:gridAfter w:val="2"/>
          <w:wAfter w:w="1361" w:type="dxa"/>
          <w:trHeight w:val="321"/>
        </w:trPr>
        <w:tc>
          <w:tcPr>
            <w:tcW w:w="135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bottom"/>
          </w:tcPr>
          <w:p w14:paraId="1FCC6FF5" w14:textId="77777777" w:rsidR="008C2C57" w:rsidRPr="00F53CA1" w:rsidRDefault="008C2C57" w:rsidP="008F29A3">
            <w:pPr>
              <w:rPr>
                <w:b/>
                <w:color w:val="000000"/>
                <w:sz w:val="16"/>
              </w:rPr>
            </w:pPr>
            <w:r w:rsidRPr="00F53CA1">
              <w:rPr>
                <w:b/>
                <w:color w:val="000000"/>
                <w:sz w:val="16"/>
              </w:rPr>
              <w:t>Service 1</w:t>
            </w:r>
          </w:p>
        </w:tc>
      </w:tr>
      <w:tr w:rsidR="008C2C57" w:rsidRPr="001235F1" w14:paraId="4FD8D22F" w14:textId="77777777" w:rsidTr="008C2C57">
        <w:trPr>
          <w:gridAfter w:val="2"/>
          <w:wAfter w:w="1363" w:type="dxa"/>
          <w:trHeight w:val="32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D096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Fee for complete i</w:t>
            </w:r>
            <w:r w:rsidRPr="001235F1">
              <w:rPr>
                <w:color w:val="000000"/>
                <w:sz w:val="16"/>
              </w:rPr>
              <w:t>mplementation (including customization) of the ICT system</w:t>
            </w:r>
            <w:r>
              <w:rPr>
                <w:color w:val="000000"/>
                <w:sz w:val="16"/>
              </w:rPr>
              <w:t xml:space="preserve"> (</w:t>
            </w:r>
            <w:r w:rsidRPr="00EF3764">
              <w:rPr>
                <w:b/>
                <w:color w:val="000000"/>
                <w:sz w:val="16"/>
              </w:rPr>
              <w:t>one Time Fee</w:t>
            </w:r>
            <w:r>
              <w:rPr>
                <w:color w:val="000000"/>
                <w:sz w:val="16"/>
              </w:rPr>
              <w:t>)</w:t>
            </w:r>
          </w:p>
          <w:p w14:paraId="7178B773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9B85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50C5E" w14:textId="77777777" w:rsidR="008C2C57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>Complete implementation</w:t>
            </w:r>
          </w:p>
          <w:p w14:paraId="15A83DD4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 xml:space="preserve"> Calculation: Fee x 1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hideMark/>
          </w:tcPr>
          <w:p w14:paraId="7258B306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1E5F5EC0" w14:textId="77777777" w:rsidTr="008C2C57">
        <w:trPr>
          <w:gridAfter w:val="2"/>
          <w:wAfter w:w="1363" w:type="dxa"/>
          <w:trHeight w:val="49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2938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License fee</w:t>
            </w:r>
            <w:r w:rsidRPr="001235F1">
              <w:rPr>
                <w:rFonts w:eastAsia="Calibri"/>
                <w:color w:val="000000"/>
                <w:sz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</w:rPr>
              <w:t xml:space="preserve">(including technical and functional support </w:t>
            </w:r>
            <w:r w:rsidRPr="001235F1">
              <w:rPr>
                <w:rFonts w:eastAsia="Calibri"/>
                <w:color w:val="000000"/>
                <w:sz w:val="16"/>
              </w:rPr>
              <w:t>for the use of the ICT s</w:t>
            </w:r>
            <w:r>
              <w:rPr>
                <w:rFonts w:eastAsia="Calibri"/>
                <w:color w:val="000000"/>
                <w:sz w:val="16"/>
              </w:rPr>
              <w:t>ystem</w:t>
            </w:r>
            <w:r w:rsidRPr="001235F1">
              <w:rPr>
                <w:rFonts w:eastAsia="Calibri"/>
                <w:color w:val="000000"/>
                <w:sz w:val="16"/>
              </w:rPr>
              <w:t xml:space="preserve"> </w:t>
            </w:r>
            <w:r w:rsidRPr="00EF3764">
              <w:rPr>
                <w:rFonts w:eastAsia="Calibri"/>
                <w:b/>
                <w:color w:val="000000"/>
                <w:sz w:val="16"/>
              </w:rPr>
              <w:t>per year</w:t>
            </w:r>
            <w:r w:rsidRPr="001235F1">
              <w:rPr>
                <w:rFonts w:eastAsia="Calibri"/>
                <w:color w:val="000000"/>
                <w:sz w:val="16"/>
              </w:rPr>
              <w:t>;</w:t>
            </w:r>
            <w:r w:rsidRPr="001235F1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2282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EB4E8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Total fee for contract period of 9 y</w:t>
            </w:r>
            <w:r w:rsidRPr="001235F1">
              <w:rPr>
                <w:color w:val="000000"/>
                <w:sz w:val="16"/>
              </w:rPr>
              <w:t>ear</w:t>
            </w:r>
            <w:r>
              <w:rPr>
                <w:color w:val="000000"/>
                <w:sz w:val="16"/>
              </w:rPr>
              <w:t>s</w:t>
            </w:r>
          </w:p>
          <w:p w14:paraId="3F1F26C3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9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ED1B2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518F3522" w14:textId="77777777" w:rsidTr="008C2C57">
        <w:trPr>
          <w:gridAfter w:val="2"/>
          <w:wAfter w:w="1363" w:type="dxa"/>
          <w:trHeight w:val="5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B15C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Fee</w:t>
            </w:r>
            <w:r w:rsidRPr="001235F1">
              <w:rPr>
                <w:rFonts w:eastAsia="Calibri"/>
                <w:color w:val="000000"/>
                <w:sz w:val="16"/>
              </w:rPr>
              <w:t xml:space="preserve"> for the hosting of the ICT system</w:t>
            </w:r>
            <w:r>
              <w:rPr>
                <w:rFonts w:eastAsia="Calibri"/>
                <w:color w:val="000000"/>
                <w:sz w:val="16"/>
              </w:rPr>
              <w:t xml:space="preserve"> (ASP service)</w:t>
            </w:r>
            <w:r w:rsidRPr="001235F1">
              <w:rPr>
                <w:rFonts w:eastAsia="Calibri"/>
                <w:color w:val="000000"/>
                <w:sz w:val="16"/>
              </w:rPr>
              <w:t xml:space="preserve"> </w:t>
            </w:r>
            <w:r w:rsidRPr="00EF3764">
              <w:rPr>
                <w:rFonts w:eastAsia="Calibri"/>
                <w:b/>
                <w:color w:val="000000"/>
                <w:sz w:val="16"/>
              </w:rPr>
              <w:t>per year</w:t>
            </w:r>
            <w:r w:rsidRPr="001235F1">
              <w:rPr>
                <w:rFonts w:eastAsia="Calibri"/>
                <w:color w:val="000000"/>
                <w:sz w:val="16"/>
              </w:rPr>
              <w:t>;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E673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77CF4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Total rate contract period  of 9 y</w:t>
            </w:r>
            <w:r w:rsidRPr="001235F1">
              <w:rPr>
                <w:color w:val="000000"/>
                <w:sz w:val="16"/>
              </w:rPr>
              <w:t>ear</w:t>
            </w:r>
            <w:r>
              <w:rPr>
                <w:color w:val="000000"/>
                <w:sz w:val="16"/>
              </w:rPr>
              <w:t>s</w:t>
            </w:r>
          </w:p>
          <w:p w14:paraId="705178CD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9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43A5A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47765B20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F63A28" w14:textId="77777777" w:rsidR="008C2C57" w:rsidRPr="001235F1" w:rsidRDefault="008C2C57" w:rsidP="008F29A3">
            <w:pPr>
              <w:rPr>
                <w:rFonts w:eastAsia="Calibri"/>
                <w:color w:val="000000"/>
                <w:sz w:val="16"/>
              </w:rPr>
            </w:pPr>
            <w:r w:rsidRPr="00EF3764">
              <w:rPr>
                <w:rFonts w:eastAsia="Calibri"/>
                <w:b/>
                <w:color w:val="000000"/>
                <w:sz w:val="16"/>
              </w:rPr>
              <w:t>Hourly Rate</w:t>
            </w:r>
            <w:r w:rsidRPr="001235F1">
              <w:rPr>
                <w:rFonts w:eastAsia="Calibri"/>
                <w:color w:val="000000"/>
                <w:sz w:val="16"/>
              </w:rPr>
              <w:t xml:space="preserve"> for additional work </w:t>
            </w:r>
            <w:r>
              <w:rPr>
                <w:rFonts w:eastAsia="Calibri"/>
                <w:color w:val="000000"/>
                <w:sz w:val="16"/>
              </w:rPr>
              <w:t>/ services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220FE8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C92F64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</w:t>
            </w:r>
            <w:r w:rsidRPr="00F53CA1">
              <w:rPr>
                <w:color w:val="000000"/>
                <w:sz w:val="16"/>
              </w:rPr>
              <w:t>stimat</w:t>
            </w:r>
            <w:r>
              <w:rPr>
                <w:color w:val="000000"/>
                <w:sz w:val="16"/>
              </w:rPr>
              <w:t>ion</w:t>
            </w:r>
            <w:r w:rsidRPr="00F53CA1">
              <w:rPr>
                <w:color w:val="000000"/>
                <w:sz w:val="16"/>
              </w:rPr>
              <w:t xml:space="preserve"> of </w:t>
            </w:r>
            <w:r>
              <w:rPr>
                <w:color w:val="000000"/>
                <w:sz w:val="16"/>
              </w:rPr>
              <w:t>1800</w:t>
            </w:r>
            <w:r w:rsidRPr="00F53CA1">
              <w:rPr>
                <w:color w:val="000000"/>
                <w:sz w:val="16"/>
              </w:rPr>
              <w:t xml:space="preserve"> hours </w:t>
            </w:r>
            <w:r>
              <w:rPr>
                <w:color w:val="000000"/>
                <w:sz w:val="16"/>
              </w:rPr>
              <w:t>for total contract period of 9 years</w:t>
            </w:r>
          </w:p>
          <w:p w14:paraId="3C2BEFB0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Hourly rate x 1800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96FD0A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6E8728E7" w14:textId="77777777" w:rsidTr="008C2C57">
        <w:trPr>
          <w:gridAfter w:val="2"/>
          <w:wAfter w:w="1361" w:type="dxa"/>
          <w:trHeight w:val="325"/>
        </w:trPr>
        <w:tc>
          <w:tcPr>
            <w:tcW w:w="135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292A315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F53CA1">
              <w:rPr>
                <w:rFonts w:eastAsia="Calibri"/>
                <w:b/>
                <w:color w:val="000000"/>
                <w:sz w:val="16"/>
              </w:rPr>
              <w:t>Service 2</w:t>
            </w:r>
          </w:p>
        </w:tc>
      </w:tr>
      <w:tr w:rsidR="008C2C57" w:rsidRPr="001235F1" w14:paraId="4D18843C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922AC" w14:textId="77777777" w:rsidR="008C2C57" w:rsidRPr="00F53CA1" w:rsidRDefault="008C2C57" w:rsidP="008F29A3">
            <w:pPr>
              <w:rPr>
                <w:rFonts w:eastAsia="Calibri"/>
                <w:b/>
                <w:color w:val="000000"/>
                <w:sz w:val="16"/>
              </w:rPr>
            </w:pPr>
            <w:r w:rsidRPr="001235F1">
              <w:rPr>
                <w:sz w:val="16"/>
                <w:szCs w:val="16"/>
              </w:rPr>
              <w:t>Rate for general development of onboarding services (</w:t>
            </w:r>
            <w:r w:rsidRPr="00EF3764">
              <w:rPr>
                <w:b/>
                <w:sz w:val="16"/>
                <w:szCs w:val="16"/>
              </w:rPr>
              <w:t>one-time fee)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F40AF4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155371D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Rate for general development onboarding services </w:t>
            </w:r>
            <w:r w:rsidRPr="00EF3764">
              <w:rPr>
                <w:b/>
                <w:color w:val="000000"/>
                <w:sz w:val="16"/>
              </w:rPr>
              <w:t xml:space="preserve">Calculation: Fee x 1 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3032C5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 w:rsidRPr="001235F1">
              <w:rPr>
                <w:color w:val="000000"/>
                <w:sz w:val="16"/>
              </w:rPr>
              <w:t xml:space="preserve">€            -   </w:t>
            </w:r>
          </w:p>
        </w:tc>
      </w:tr>
      <w:tr w:rsidR="008C2C57" w:rsidRPr="001235F1" w14:paraId="394D28BF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95D560" w14:textId="77777777" w:rsidR="008C2C57" w:rsidRPr="00F53CA1" w:rsidRDefault="008C2C57" w:rsidP="008F29A3">
            <w:pPr>
              <w:rPr>
                <w:rFonts w:eastAsia="Calibri"/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Rate per onboarded financial institution</w:t>
            </w:r>
            <w:r w:rsidRPr="001235F1">
              <w:rPr>
                <w:color w:val="000000"/>
                <w:sz w:val="16"/>
              </w:rPr>
              <w:t xml:space="preserve"> (for the first 10 FIs)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27AD13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0278CA4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For 10 </w:t>
            </w:r>
            <w:r w:rsidRPr="001235F1">
              <w:rPr>
                <w:color w:val="000000"/>
                <w:sz w:val="16"/>
              </w:rPr>
              <w:t>Onboarded FI</w:t>
            </w:r>
            <w:r>
              <w:rPr>
                <w:color w:val="000000"/>
                <w:sz w:val="16"/>
              </w:rPr>
              <w:t>s (first tranche)</w:t>
            </w:r>
          </w:p>
          <w:p w14:paraId="484B4825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10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1B81BF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57B921D7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20EF3E" w14:textId="77777777" w:rsidR="008C2C57" w:rsidRPr="00F53CA1" w:rsidRDefault="008C2C57" w:rsidP="008F29A3">
            <w:pPr>
              <w:rPr>
                <w:rFonts w:eastAsia="Calibri"/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 xml:space="preserve">Rate per onboarded financial institution </w:t>
            </w:r>
            <w:r w:rsidRPr="001235F1">
              <w:rPr>
                <w:color w:val="000000"/>
                <w:sz w:val="16"/>
              </w:rPr>
              <w:t>(for the second 10 FIs)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86FEC7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7E90FA7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For 10 </w:t>
            </w:r>
            <w:r w:rsidRPr="001235F1">
              <w:rPr>
                <w:color w:val="000000"/>
                <w:sz w:val="16"/>
              </w:rPr>
              <w:t>Onboarded FI</w:t>
            </w:r>
            <w:r>
              <w:rPr>
                <w:color w:val="000000"/>
                <w:sz w:val="16"/>
              </w:rPr>
              <w:t>s (second tranche)</w:t>
            </w:r>
          </w:p>
          <w:p w14:paraId="230A6112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10</w:t>
            </w:r>
          </w:p>
          <w:p w14:paraId="603ABC7D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5DF627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26CF8A6C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540F9E" w14:textId="77777777" w:rsidR="008C2C57" w:rsidRPr="00F53CA1" w:rsidRDefault="008C2C57" w:rsidP="008F29A3">
            <w:pPr>
              <w:rPr>
                <w:rFonts w:eastAsia="Calibri"/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Rate per onboarded financial institution</w:t>
            </w:r>
            <w:r w:rsidRPr="001235F1">
              <w:rPr>
                <w:color w:val="000000"/>
                <w:sz w:val="16"/>
              </w:rPr>
              <w:t xml:space="preserve"> (for the third 10 FIs)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E80A6C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BE4ABF8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For 10 </w:t>
            </w:r>
            <w:r w:rsidRPr="001235F1">
              <w:rPr>
                <w:color w:val="000000"/>
                <w:sz w:val="16"/>
              </w:rPr>
              <w:t>Onboarded FI</w:t>
            </w:r>
            <w:r>
              <w:rPr>
                <w:color w:val="000000"/>
                <w:sz w:val="16"/>
              </w:rPr>
              <w:t>s (third tranche)</w:t>
            </w:r>
          </w:p>
          <w:p w14:paraId="0EA64807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10</w:t>
            </w:r>
          </w:p>
          <w:p w14:paraId="1C25DCA2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DED25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2C721D43" w14:textId="77777777" w:rsidTr="008C2C57">
        <w:trPr>
          <w:gridAfter w:val="2"/>
          <w:wAfter w:w="1363" w:type="dxa"/>
          <w:trHeight w:val="60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FE0CF5" w14:textId="77777777" w:rsidR="008C2C57" w:rsidRPr="00F53CA1" w:rsidRDefault="008C2C57" w:rsidP="008F29A3">
            <w:pPr>
              <w:rPr>
                <w:rFonts w:eastAsia="Calibri"/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Rate per onboarded financial institution</w:t>
            </w:r>
            <w:r w:rsidRPr="001235F1">
              <w:rPr>
                <w:color w:val="000000"/>
                <w:sz w:val="16"/>
              </w:rPr>
              <w:t xml:space="preserve"> (for the fourth 10 FIs)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43BD90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CCC1DC0" w14:textId="77777777" w:rsidR="008C2C57" w:rsidRDefault="008C2C57" w:rsidP="008F29A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For 10 </w:t>
            </w:r>
            <w:r w:rsidRPr="001235F1">
              <w:rPr>
                <w:color w:val="000000"/>
                <w:sz w:val="16"/>
              </w:rPr>
              <w:t>Onboarded FI</w:t>
            </w:r>
            <w:r>
              <w:rPr>
                <w:color w:val="000000"/>
                <w:sz w:val="16"/>
              </w:rPr>
              <w:t>s (fourth tranche)</w:t>
            </w:r>
          </w:p>
          <w:p w14:paraId="2D9E1077" w14:textId="77777777" w:rsidR="008C2C57" w:rsidRPr="00EF3764" w:rsidRDefault="008C2C57" w:rsidP="008F29A3">
            <w:pPr>
              <w:rPr>
                <w:b/>
                <w:color w:val="000000"/>
                <w:sz w:val="16"/>
              </w:rPr>
            </w:pPr>
            <w:r w:rsidRPr="00EF3764">
              <w:rPr>
                <w:b/>
                <w:color w:val="000000"/>
                <w:sz w:val="16"/>
              </w:rPr>
              <w:t>Calculation: Fee x 10</w:t>
            </w:r>
          </w:p>
          <w:p w14:paraId="23EA642C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11B5A3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</w:tr>
      <w:tr w:rsidR="008C2C57" w:rsidRPr="001235F1" w14:paraId="5EA9573A" w14:textId="77777777" w:rsidTr="008C2C57">
        <w:trPr>
          <w:trHeight w:val="497"/>
        </w:trPr>
        <w:tc>
          <w:tcPr>
            <w:tcW w:w="104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D94E4F" w14:textId="77777777" w:rsidR="008C2C57" w:rsidRPr="00F53CA1" w:rsidRDefault="008C2C57" w:rsidP="008F29A3">
            <w:pPr>
              <w:rPr>
                <w:b/>
                <w:color w:val="000000"/>
                <w:sz w:val="16"/>
              </w:rPr>
            </w:pPr>
            <w:r w:rsidRPr="00F53CA1">
              <w:rPr>
                <w:b/>
                <w:color w:val="000000"/>
                <w:sz w:val="16"/>
              </w:rPr>
              <w:t xml:space="preserve"> Total</w:t>
            </w:r>
            <w:r>
              <w:rPr>
                <w:b/>
                <w:color w:val="000000"/>
                <w:sz w:val="16"/>
              </w:rPr>
              <w:t xml:space="preserve"> Fee (service 1 and 2)</w:t>
            </w:r>
          </w:p>
        </w:tc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E04AB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  <w:r w:rsidRPr="001235F1">
              <w:rPr>
                <w:color w:val="000000"/>
                <w:sz w:val="16"/>
              </w:rPr>
              <w:t xml:space="preserve"> €            -   </w:t>
            </w:r>
          </w:p>
        </w:tc>
        <w:tc>
          <w:tcPr>
            <w:tcW w:w="103" w:type="dxa"/>
          </w:tcPr>
          <w:p w14:paraId="1825D10A" w14:textId="77777777" w:rsidR="008C2C57" w:rsidRPr="001235F1" w:rsidRDefault="008C2C57" w:rsidP="008F29A3">
            <w:pPr>
              <w:spacing w:line="240" w:lineRule="atLeast"/>
            </w:pPr>
          </w:p>
        </w:tc>
        <w:tc>
          <w:tcPr>
            <w:tcW w:w="1259" w:type="dxa"/>
            <w:vAlign w:val="bottom"/>
          </w:tcPr>
          <w:p w14:paraId="7DD139F5" w14:textId="77777777" w:rsidR="008C2C57" w:rsidRPr="001235F1" w:rsidRDefault="008C2C57" w:rsidP="008F29A3">
            <w:pPr>
              <w:spacing w:line="240" w:lineRule="atLeast"/>
            </w:pPr>
            <w:r w:rsidRPr="001235F1">
              <w:rPr>
                <w:color w:val="000000"/>
                <w:sz w:val="16"/>
              </w:rPr>
              <w:t xml:space="preserve">  </w:t>
            </w:r>
          </w:p>
        </w:tc>
      </w:tr>
      <w:tr w:rsidR="008C2C57" w:rsidRPr="001235F1" w14:paraId="4379B7A3" w14:textId="77777777" w:rsidTr="008C2C57">
        <w:trPr>
          <w:gridAfter w:val="2"/>
          <w:wAfter w:w="1363" w:type="dxa"/>
          <w:trHeight w:val="49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337" w14:textId="77777777" w:rsidR="008C2C57" w:rsidRPr="001235F1" w:rsidRDefault="008C2C57" w:rsidP="008F29A3">
            <w:pPr>
              <w:rPr>
                <w:color w:val="000000"/>
                <w:sz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1F8" w14:textId="77777777" w:rsidR="008C2C57" w:rsidRPr="001235F1" w:rsidRDefault="008C2C57" w:rsidP="008F29A3">
            <w:pPr>
              <w:rPr>
                <w:sz w:val="16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1C1" w14:textId="77777777" w:rsidR="008C2C57" w:rsidRPr="001235F1" w:rsidRDefault="008C2C57" w:rsidP="008F29A3">
            <w:pPr>
              <w:rPr>
                <w:sz w:val="16"/>
                <w:szCs w:val="20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9D9" w14:textId="77777777" w:rsidR="008C2C57" w:rsidRPr="001235F1" w:rsidRDefault="008C2C57" w:rsidP="008F29A3">
            <w:pPr>
              <w:rPr>
                <w:sz w:val="16"/>
                <w:szCs w:val="20"/>
              </w:rPr>
            </w:pPr>
          </w:p>
        </w:tc>
      </w:tr>
    </w:tbl>
    <w:p w14:paraId="3F234506" w14:textId="77777777" w:rsidR="003A4677" w:rsidRDefault="00CE6054"/>
    <w:sectPr w:rsidR="003A4677" w:rsidSect="008C2C5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57"/>
    <w:rsid w:val="00741335"/>
    <w:rsid w:val="008C2C57"/>
    <w:rsid w:val="00CE6054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806"/>
  <w15:chartTrackingRefBased/>
  <w15:docId w15:val="{DC51DA8E-AE23-D84A-96B1-DD9EDF7E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8C2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2C57"/>
  </w:style>
  <w:style w:type="character" w:customStyle="1" w:styleId="BodyTextChar">
    <w:name w:val="Body Text Char"/>
    <w:basedOn w:val="DefaultParagraphFont"/>
    <w:link w:val="BodyText"/>
    <w:rsid w:val="008C2C57"/>
    <w:rPr>
      <w:rFonts w:ascii="Times New Roman" w:eastAsia="Times New Roman" w:hAnsi="Times New Roman" w:cs="Times New Roman"/>
    </w:rPr>
  </w:style>
  <w:style w:type="paragraph" w:customStyle="1" w:styleId="Appendix5">
    <w:name w:val="Appendix 5"/>
    <w:basedOn w:val="BodyText"/>
    <w:next w:val="BodyText"/>
    <w:uiPriority w:val="34"/>
    <w:qFormat/>
    <w:rsid w:val="008C2C57"/>
    <w:pPr>
      <w:keepNext/>
      <w:numPr>
        <w:ilvl w:val="4"/>
        <w:numId w:val="1"/>
      </w:numPr>
      <w:spacing w:after="40"/>
      <w:outlineLvl w:val="4"/>
    </w:pPr>
  </w:style>
  <w:style w:type="paragraph" w:customStyle="1" w:styleId="Appendix4">
    <w:name w:val="Appendix 4"/>
    <w:basedOn w:val="BodyText"/>
    <w:next w:val="BodyText"/>
    <w:uiPriority w:val="34"/>
    <w:qFormat/>
    <w:rsid w:val="008C2C57"/>
    <w:pPr>
      <w:keepNext/>
      <w:numPr>
        <w:ilvl w:val="3"/>
        <w:numId w:val="1"/>
      </w:numPr>
      <w:spacing w:after="40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8C2C57"/>
    <w:pPr>
      <w:keepNext/>
      <w:numPr>
        <w:ilvl w:val="2"/>
        <w:numId w:val="1"/>
      </w:numPr>
      <w:spacing w:after="40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8C2C57"/>
    <w:pPr>
      <w:keepNext/>
      <w:numPr>
        <w:ilvl w:val="1"/>
        <w:numId w:val="1"/>
      </w:numPr>
      <w:spacing w:after="40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8C2C57"/>
    <w:pPr>
      <w:keepNext/>
      <w:numPr>
        <w:numId w:val="1"/>
      </w:numPr>
      <w:spacing w:after="40"/>
      <w:outlineLvl w:val="0"/>
    </w:pPr>
    <w:rPr>
      <w:b/>
      <w:i/>
    </w:rPr>
  </w:style>
  <w:style w:type="paragraph" w:customStyle="1" w:styleId="Appendix6">
    <w:name w:val="Appendix 6"/>
    <w:basedOn w:val="BodyText"/>
    <w:next w:val="BodyText"/>
    <w:uiPriority w:val="34"/>
    <w:rsid w:val="008C2C57"/>
    <w:pPr>
      <w:keepNext/>
      <w:numPr>
        <w:ilvl w:val="5"/>
        <w:numId w:val="1"/>
      </w:numPr>
      <w:spacing w:after="40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8C2C57"/>
    <w:pPr>
      <w:keepNext/>
      <w:numPr>
        <w:ilvl w:val="6"/>
        <w:numId w:val="1"/>
      </w:numPr>
      <w:spacing w:after="40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8C2C57"/>
    <w:pPr>
      <w:keepNext/>
      <w:numPr>
        <w:ilvl w:val="7"/>
        <w:numId w:val="1"/>
      </w:numPr>
      <w:spacing w:after="40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8C2C57"/>
    <w:pPr>
      <w:keepNext/>
      <w:numPr>
        <w:ilvl w:val="8"/>
        <w:numId w:val="1"/>
      </w:numPr>
      <w:spacing w:after="40"/>
      <w:outlineLvl w:val="8"/>
    </w:pPr>
  </w:style>
  <w:style w:type="paragraph" w:styleId="CommentText">
    <w:name w:val="annotation text"/>
    <w:basedOn w:val="Normal"/>
    <w:link w:val="CommentTextChar"/>
    <w:hidden/>
    <w:uiPriority w:val="99"/>
    <w:unhideWhenUsed/>
    <w:rsid w:val="008C2C57"/>
  </w:style>
  <w:style w:type="character" w:customStyle="1" w:styleId="CommentTextChar">
    <w:name w:val="Comment Text Char"/>
    <w:basedOn w:val="DefaultParagraphFont"/>
    <w:link w:val="CommentText"/>
    <w:uiPriority w:val="99"/>
    <w:rsid w:val="008C2C5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hidden/>
    <w:uiPriority w:val="99"/>
    <w:semiHidden/>
    <w:unhideWhenUsed/>
    <w:rsid w:val="008C2C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1139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Paans-van der Arend, Diana</cp:lastModifiedBy>
  <cp:revision>2</cp:revision>
  <dcterms:created xsi:type="dcterms:W3CDTF">2019-06-03T19:32:00Z</dcterms:created>
  <dcterms:modified xsi:type="dcterms:W3CDTF">2019-06-03T19:32:00Z</dcterms:modified>
</cp:coreProperties>
</file>