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54D6" w14:textId="3ED2F134" w:rsidR="00753747" w:rsidRDefault="00753747" w:rsidP="00753747">
      <w:pPr>
        <w:pStyle w:val="Appendix2"/>
        <w:numPr>
          <w:ilvl w:val="0"/>
          <w:numId w:val="0"/>
        </w:numPr>
      </w:pPr>
      <w:bookmarkStart w:id="0" w:name="_Toc8060601"/>
      <w:bookmarkStart w:id="1" w:name="_GoBack"/>
      <w:bookmarkEnd w:id="1"/>
      <w:r>
        <w:t xml:space="preserve">Annex 04 - Template </w:t>
      </w:r>
      <w:proofErr w:type="gramStart"/>
      <w:r>
        <w:t>For</w:t>
      </w:r>
      <w:proofErr w:type="gramEnd"/>
      <w:r>
        <w:t xml:space="preserve"> Response on Functional Criteria</w:t>
      </w:r>
      <w:bookmarkEnd w:id="0"/>
    </w:p>
    <w:p w14:paraId="4107668F" w14:textId="77777777" w:rsidR="00753747" w:rsidRDefault="00753747" w:rsidP="00753747">
      <w:pPr>
        <w:pStyle w:val="BodyText"/>
      </w:pPr>
    </w:p>
    <w:p w14:paraId="6C8E0BD9" w14:textId="324CA29E" w:rsidR="00753747" w:rsidRDefault="00753747" w:rsidP="00753747">
      <w:pPr>
        <w:pStyle w:val="BodyText"/>
      </w:pPr>
      <w:r>
        <w:t>Tenderers need to fill the table below as response on Functional Criteria (Annex 3).</w:t>
      </w:r>
    </w:p>
    <w:p w14:paraId="206986CF" w14:textId="77777777" w:rsidR="00753747" w:rsidRPr="003876EA" w:rsidRDefault="00753747" w:rsidP="00753747">
      <w:pPr>
        <w:pStyle w:val="BodyText"/>
      </w:pPr>
    </w:p>
    <w:tbl>
      <w:tblPr>
        <w:tblStyle w:val="LightList1"/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29"/>
        <w:gridCol w:w="1424"/>
        <w:gridCol w:w="1792"/>
        <w:gridCol w:w="5049"/>
        <w:gridCol w:w="8"/>
      </w:tblGrid>
      <w:tr w:rsidR="00753747" w:rsidRPr="00E826F3" w14:paraId="0AF0B2AA" w14:textId="77777777" w:rsidTr="007537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503"/>
        </w:trPr>
        <w:tc>
          <w:tcPr>
            <w:tcW w:w="529" w:type="dxa"/>
            <w:shd w:val="clear" w:color="auto" w:fill="002060"/>
            <w:hideMark/>
          </w:tcPr>
          <w:p w14:paraId="0B657A29" w14:textId="77777777" w:rsidR="00753747" w:rsidRPr="00E826F3" w:rsidRDefault="00753747" w:rsidP="008F29A3">
            <w:pPr>
              <w:pStyle w:val="BodyText"/>
            </w:pPr>
            <w:r w:rsidRPr="00E826F3">
              <w:t>N</w:t>
            </w:r>
            <w:r>
              <w:t>o</w:t>
            </w:r>
            <w:r w:rsidRPr="00E826F3">
              <w:t>.</w:t>
            </w:r>
          </w:p>
        </w:tc>
        <w:tc>
          <w:tcPr>
            <w:tcW w:w="1424" w:type="dxa"/>
            <w:shd w:val="clear" w:color="auto" w:fill="002060"/>
            <w:hideMark/>
          </w:tcPr>
          <w:p w14:paraId="4F0C2AE5" w14:textId="77777777" w:rsidR="00753747" w:rsidRPr="00E826F3" w:rsidRDefault="00753747" w:rsidP="008F29A3">
            <w:pPr>
              <w:pStyle w:val="BodyText"/>
            </w:pPr>
            <w:r w:rsidRPr="00E826F3">
              <w:t>Category</w:t>
            </w:r>
          </w:p>
        </w:tc>
        <w:tc>
          <w:tcPr>
            <w:tcW w:w="1792" w:type="dxa"/>
            <w:shd w:val="clear" w:color="auto" w:fill="002060"/>
            <w:hideMark/>
          </w:tcPr>
          <w:p w14:paraId="20D66F48" w14:textId="77777777" w:rsidR="00753747" w:rsidRDefault="00753747" w:rsidP="008F29A3">
            <w:pPr>
              <w:pStyle w:val="BodyTex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Standard Functionality in ICT-system</w:t>
            </w:r>
          </w:p>
          <w:p w14:paraId="5D77D9B2" w14:textId="77777777" w:rsidR="00753747" w:rsidRPr="00E826F3" w:rsidRDefault="00753747" w:rsidP="008F29A3">
            <w:pPr>
              <w:pStyle w:val="BodyText"/>
            </w:pPr>
            <w:r>
              <w:rPr>
                <w:b w:val="0"/>
                <w:lang w:eastAsia="en-GB"/>
              </w:rPr>
              <w:t xml:space="preserve">Yes/No </w:t>
            </w:r>
          </w:p>
        </w:tc>
        <w:tc>
          <w:tcPr>
            <w:tcW w:w="5049" w:type="dxa"/>
            <w:shd w:val="clear" w:color="auto" w:fill="002060"/>
            <w:hideMark/>
          </w:tcPr>
          <w:p w14:paraId="59E778E0" w14:textId="77777777" w:rsidR="00753747" w:rsidRDefault="00753747" w:rsidP="008F29A3">
            <w:pPr>
              <w:rPr>
                <w:b w:val="0"/>
                <w:lang w:eastAsia="en-GB"/>
              </w:rPr>
            </w:pPr>
            <w:r w:rsidRPr="00E86508">
              <w:rPr>
                <w:b w:val="0"/>
                <w:lang w:eastAsia="en-GB"/>
              </w:rPr>
              <w:t>E</w:t>
            </w:r>
            <w:r>
              <w:rPr>
                <w:b w:val="0"/>
                <w:lang w:eastAsia="en-GB"/>
              </w:rPr>
              <w:t>xplanation</w:t>
            </w:r>
          </w:p>
          <w:p w14:paraId="201502D7" w14:textId="77777777" w:rsidR="00753747" w:rsidRPr="003B5E88" w:rsidRDefault="00753747" w:rsidP="0075374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Arial"/>
              </w:rPr>
            </w:pPr>
            <w:r w:rsidRPr="003B5E88">
              <w:rPr>
                <w:rFonts w:ascii="Times" w:hAnsi="Times" w:cs="Arial"/>
              </w:rPr>
              <w:t xml:space="preserve">Explanation is </w:t>
            </w:r>
            <w:r w:rsidRPr="003B5E88">
              <w:rPr>
                <w:rFonts w:ascii="Times" w:hAnsi="Times" w:cs="Arial"/>
                <w:b w:val="0"/>
                <w:bCs w:val="0"/>
              </w:rPr>
              <w:t xml:space="preserve">mandatory, </w:t>
            </w:r>
          </w:p>
          <w:p w14:paraId="611AC74C" w14:textId="77777777" w:rsidR="00753747" w:rsidRDefault="00753747" w:rsidP="0075374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Arial"/>
              </w:rPr>
            </w:pPr>
            <w:r w:rsidRPr="003B5E88">
              <w:rPr>
                <w:rFonts w:ascii="Times" w:hAnsi="Times" w:cs="Arial"/>
              </w:rPr>
              <w:t xml:space="preserve">A </w:t>
            </w:r>
            <w:r w:rsidRPr="003B5E88">
              <w:rPr>
                <w:rFonts w:ascii="Times" w:hAnsi="Times" w:cs="Arial"/>
                <w:b w:val="0"/>
                <w:bCs w:val="0"/>
              </w:rPr>
              <w:t>maximum</w:t>
            </w:r>
            <w:r w:rsidRPr="003B5E88">
              <w:rPr>
                <w:rFonts w:ascii="Times" w:hAnsi="Times" w:cs="Arial"/>
              </w:rPr>
              <w:t xml:space="preserve"> of</w:t>
            </w:r>
            <w:r w:rsidRPr="003B5E88">
              <w:rPr>
                <w:rFonts w:ascii="Times" w:hAnsi="Times" w:cs="Arial"/>
                <w:b w:val="0"/>
                <w:bCs w:val="0"/>
              </w:rPr>
              <w:t xml:space="preserve"> 200 words</w:t>
            </w:r>
            <w:r w:rsidRPr="003B5E88">
              <w:rPr>
                <w:rFonts w:ascii="Times" w:hAnsi="Times" w:cs="Arial"/>
              </w:rPr>
              <w:t xml:space="preserve"> per explanation is allowed</w:t>
            </w:r>
          </w:p>
          <w:p w14:paraId="5B5C9C9A" w14:textId="77777777" w:rsidR="00753747" w:rsidRPr="002A1CD2" w:rsidRDefault="00753747" w:rsidP="0075374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Arial"/>
              </w:rPr>
            </w:pPr>
            <w:r w:rsidRPr="002A1CD2">
              <w:rPr>
                <w:rFonts w:ascii="Times" w:hAnsi="Times" w:cs="Arial"/>
              </w:rPr>
              <w:t>S</w:t>
            </w:r>
            <w:r w:rsidRPr="002A1CD2">
              <w:rPr>
                <w:rFonts w:ascii="Times" w:hAnsi="Times" w:cs="Arial"/>
                <w:b w:val="0"/>
                <w:bCs w:val="0"/>
              </w:rPr>
              <w:t>creenshots</w:t>
            </w:r>
            <w:r w:rsidRPr="002A1CD2">
              <w:rPr>
                <w:rFonts w:ascii="Times" w:hAnsi="Times" w:cs="Arial"/>
              </w:rPr>
              <w:t xml:space="preserve"> are</w:t>
            </w:r>
            <w:r w:rsidRPr="002A1CD2">
              <w:rPr>
                <w:rFonts w:ascii="Times" w:hAnsi="Times" w:cs="Arial"/>
                <w:b w:val="0"/>
                <w:bCs w:val="0"/>
              </w:rPr>
              <w:t xml:space="preserve"> allowed</w:t>
            </w:r>
          </w:p>
        </w:tc>
      </w:tr>
      <w:tr w:rsidR="00753747" w:rsidRPr="00E826F3" w14:paraId="6AD9094D" w14:textId="77777777" w:rsidTr="00753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tcW w:w="529" w:type="dxa"/>
            <w:hideMark/>
          </w:tcPr>
          <w:p w14:paraId="4F02DAC1" w14:textId="77777777" w:rsidR="00753747" w:rsidRPr="00E826F3" w:rsidRDefault="00753747" w:rsidP="008F29A3">
            <w:pPr>
              <w:pStyle w:val="BodyText"/>
            </w:pPr>
            <w:r w:rsidRPr="00E826F3">
              <w:t>1</w:t>
            </w:r>
          </w:p>
        </w:tc>
        <w:tc>
          <w:tcPr>
            <w:tcW w:w="1424" w:type="dxa"/>
            <w:hideMark/>
          </w:tcPr>
          <w:p w14:paraId="3B8F0464" w14:textId="77777777" w:rsidR="00753747" w:rsidRPr="00E826F3" w:rsidRDefault="00753747" w:rsidP="008F29A3">
            <w:pPr>
              <w:pStyle w:val="BodyText"/>
            </w:pPr>
            <w:r w:rsidRPr="00E826F3">
              <w:t>Onboarding</w:t>
            </w:r>
          </w:p>
        </w:tc>
        <w:tc>
          <w:tcPr>
            <w:tcW w:w="6849" w:type="dxa"/>
            <w:gridSpan w:val="3"/>
            <w:shd w:val="clear" w:color="auto" w:fill="989393" w:themeFill="background2" w:themeFillShade="A6"/>
          </w:tcPr>
          <w:p w14:paraId="78A847D7" w14:textId="77777777" w:rsidR="00753747" w:rsidRPr="003876EA" w:rsidRDefault="00753747" w:rsidP="008F29A3">
            <w:pPr>
              <w:pStyle w:val="BodyText"/>
              <w:rPr>
                <w:color w:val="E7E6E6" w:themeColor="background2"/>
              </w:rPr>
            </w:pPr>
            <w:r w:rsidRPr="003876EA">
              <w:rPr>
                <w:color w:val="E7E6E6" w:themeColor="background2"/>
              </w:rPr>
              <w:t>For this category, Tenderers need to attach a Onboarding approach (see subsection 4.2 of Request for Proposal)</w:t>
            </w:r>
          </w:p>
        </w:tc>
      </w:tr>
      <w:tr w:rsidR="00753747" w:rsidRPr="00E826F3" w14:paraId="290AD2CF" w14:textId="77777777" w:rsidTr="00753747">
        <w:trPr>
          <w:trHeight w:val="991"/>
        </w:trPr>
        <w:tc>
          <w:tcPr>
            <w:tcW w:w="529" w:type="dxa"/>
            <w:hideMark/>
          </w:tcPr>
          <w:p w14:paraId="2346B51A" w14:textId="77777777" w:rsidR="00753747" w:rsidRPr="00E826F3" w:rsidRDefault="00753747" w:rsidP="008F29A3">
            <w:pPr>
              <w:pStyle w:val="BodyText"/>
            </w:pPr>
            <w:r w:rsidRPr="00E826F3">
              <w:t>2</w:t>
            </w:r>
          </w:p>
        </w:tc>
        <w:tc>
          <w:tcPr>
            <w:tcW w:w="1424" w:type="dxa"/>
            <w:hideMark/>
          </w:tcPr>
          <w:p w14:paraId="6A9E7019" w14:textId="77777777" w:rsidR="00753747" w:rsidRPr="00E826F3" w:rsidRDefault="00753747" w:rsidP="008F29A3">
            <w:pPr>
              <w:pStyle w:val="BodyText"/>
            </w:pPr>
            <w:r w:rsidRPr="00E826F3">
              <w:t>Technical and Functional support</w:t>
            </w:r>
          </w:p>
        </w:tc>
        <w:tc>
          <w:tcPr>
            <w:tcW w:w="6849" w:type="dxa"/>
            <w:gridSpan w:val="3"/>
            <w:shd w:val="clear" w:color="auto" w:fill="989393" w:themeFill="background2" w:themeFillShade="A6"/>
          </w:tcPr>
          <w:p w14:paraId="5B3F5E20" w14:textId="77777777" w:rsidR="00753747" w:rsidRPr="003876EA" w:rsidRDefault="00753747" w:rsidP="008F29A3">
            <w:pPr>
              <w:pStyle w:val="BodyText"/>
              <w:rPr>
                <w:color w:val="E7E6E6" w:themeColor="background2"/>
              </w:rPr>
            </w:pPr>
            <w:r w:rsidRPr="003876EA">
              <w:rPr>
                <w:color w:val="E7E6E6" w:themeColor="background2"/>
              </w:rPr>
              <w:t>For this category Tenderers need to attach a Service Level Agreement (see subsection 4.2 of Request for Proposal)</w:t>
            </w:r>
          </w:p>
        </w:tc>
      </w:tr>
      <w:tr w:rsidR="00753747" w:rsidRPr="00E826F3" w14:paraId="52703174" w14:textId="77777777" w:rsidTr="007537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1071"/>
        </w:trPr>
        <w:tc>
          <w:tcPr>
            <w:tcW w:w="529" w:type="dxa"/>
            <w:hideMark/>
          </w:tcPr>
          <w:p w14:paraId="1F46193B" w14:textId="77777777" w:rsidR="00753747" w:rsidRPr="00E826F3" w:rsidRDefault="00753747" w:rsidP="008F29A3">
            <w:pPr>
              <w:pStyle w:val="BodyText"/>
            </w:pPr>
            <w:r w:rsidRPr="00E826F3">
              <w:t>3</w:t>
            </w:r>
          </w:p>
        </w:tc>
        <w:tc>
          <w:tcPr>
            <w:tcW w:w="1424" w:type="dxa"/>
            <w:hideMark/>
          </w:tcPr>
          <w:p w14:paraId="5F42B197" w14:textId="77777777" w:rsidR="00753747" w:rsidRPr="00E826F3" w:rsidRDefault="00753747" w:rsidP="008F29A3">
            <w:pPr>
              <w:pStyle w:val="BodyText"/>
            </w:pPr>
            <w:r w:rsidRPr="00E826F3">
              <w:t>Configuration of transacti</w:t>
            </w:r>
            <w:r>
              <w:t>ons</w:t>
            </w:r>
          </w:p>
        </w:tc>
        <w:tc>
          <w:tcPr>
            <w:tcW w:w="1792" w:type="dxa"/>
          </w:tcPr>
          <w:p w14:paraId="1CA3E0CC" w14:textId="77777777" w:rsidR="00753747" w:rsidRDefault="00753747" w:rsidP="008F29A3">
            <w:pPr>
              <w:pStyle w:val="BodyText"/>
              <w:ind w:left="1440"/>
            </w:pPr>
          </w:p>
          <w:p w14:paraId="55F3BE03" w14:textId="77777777" w:rsidR="00753747" w:rsidRDefault="00753747" w:rsidP="008F29A3">
            <w:pPr>
              <w:pStyle w:val="BodyText"/>
              <w:ind w:left="1440"/>
            </w:pPr>
          </w:p>
          <w:p w14:paraId="02CD5302" w14:textId="77777777" w:rsidR="00753747" w:rsidRDefault="00753747" w:rsidP="008F29A3">
            <w:pPr>
              <w:pStyle w:val="BodyText"/>
              <w:ind w:left="1440"/>
            </w:pPr>
          </w:p>
          <w:p w14:paraId="19F62602" w14:textId="77777777" w:rsidR="00753747" w:rsidRPr="00E826F3" w:rsidRDefault="00753747" w:rsidP="008F29A3">
            <w:pPr>
              <w:pStyle w:val="BodyText"/>
              <w:ind w:left="1440"/>
            </w:pPr>
          </w:p>
        </w:tc>
        <w:tc>
          <w:tcPr>
            <w:tcW w:w="5049" w:type="dxa"/>
            <w:hideMark/>
          </w:tcPr>
          <w:p w14:paraId="131CC9A3" w14:textId="77777777" w:rsidR="00753747" w:rsidRPr="00E826F3" w:rsidRDefault="00753747" w:rsidP="008F29A3">
            <w:pPr>
              <w:pStyle w:val="BodyText"/>
            </w:pPr>
          </w:p>
        </w:tc>
      </w:tr>
      <w:tr w:rsidR="00753747" w:rsidRPr="00E826F3" w14:paraId="00E1DE2F" w14:textId="77777777" w:rsidTr="00753747">
        <w:trPr>
          <w:gridAfter w:val="1"/>
          <w:wAfter w:w="8" w:type="dxa"/>
          <w:trHeight w:val="1362"/>
        </w:trPr>
        <w:tc>
          <w:tcPr>
            <w:tcW w:w="529" w:type="dxa"/>
            <w:hideMark/>
          </w:tcPr>
          <w:p w14:paraId="352614AB" w14:textId="77777777" w:rsidR="00753747" w:rsidRPr="00E826F3" w:rsidRDefault="00753747" w:rsidP="008F29A3">
            <w:pPr>
              <w:pStyle w:val="BodyText"/>
            </w:pPr>
            <w:r w:rsidRPr="00E826F3">
              <w:t>4</w:t>
            </w:r>
          </w:p>
        </w:tc>
        <w:tc>
          <w:tcPr>
            <w:tcW w:w="1424" w:type="dxa"/>
            <w:hideMark/>
          </w:tcPr>
          <w:p w14:paraId="10F3C2AF" w14:textId="77777777" w:rsidR="00753747" w:rsidRPr="00E826F3" w:rsidRDefault="00753747" w:rsidP="008F29A3">
            <w:pPr>
              <w:pStyle w:val="BodyText"/>
            </w:pPr>
            <w:r w:rsidRPr="00E826F3">
              <w:t>Calculation</w:t>
            </w:r>
          </w:p>
        </w:tc>
        <w:tc>
          <w:tcPr>
            <w:tcW w:w="1792" w:type="dxa"/>
            <w:hideMark/>
          </w:tcPr>
          <w:p w14:paraId="72806FE4" w14:textId="77777777" w:rsidR="00753747" w:rsidRPr="00E826F3" w:rsidRDefault="00753747" w:rsidP="008F29A3">
            <w:pPr>
              <w:pStyle w:val="BodyText"/>
            </w:pPr>
            <w:r w:rsidRPr="00E826F3">
              <w:t xml:space="preserve"> </w:t>
            </w:r>
          </w:p>
        </w:tc>
        <w:tc>
          <w:tcPr>
            <w:tcW w:w="5049" w:type="dxa"/>
            <w:hideMark/>
          </w:tcPr>
          <w:p w14:paraId="44516022" w14:textId="77777777" w:rsidR="00753747" w:rsidRPr="00E826F3" w:rsidRDefault="00753747" w:rsidP="008F29A3">
            <w:pPr>
              <w:pStyle w:val="BodyText"/>
            </w:pPr>
          </w:p>
        </w:tc>
      </w:tr>
      <w:tr w:rsidR="00753747" w:rsidRPr="00E826F3" w14:paraId="7E4E5484" w14:textId="77777777" w:rsidTr="007537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996"/>
        </w:trPr>
        <w:tc>
          <w:tcPr>
            <w:tcW w:w="529" w:type="dxa"/>
            <w:hideMark/>
          </w:tcPr>
          <w:p w14:paraId="74155EC7" w14:textId="77777777" w:rsidR="00753747" w:rsidRPr="00E826F3" w:rsidRDefault="00753747" w:rsidP="008F29A3">
            <w:pPr>
              <w:pStyle w:val="BodyText"/>
            </w:pPr>
            <w:r w:rsidRPr="00E826F3">
              <w:t>5</w:t>
            </w:r>
          </w:p>
        </w:tc>
        <w:tc>
          <w:tcPr>
            <w:tcW w:w="1424" w:type="dxa"/>
            <w:hideMark/>
          </w:tcPr>
          <w:p w14:paraId="72E1F0DA" w14:textId="77777777" w:rsidR="00753747" w:rsidRPr="00E826F3" w:rsidRDefault="00753747" w:rsidP="008F29A3">
            <w:pPr>
              <w:pStyle w:val="BodyText"/>
            </w:pPr>
            <w:r w:rsidRPr="00E826F3">
              <w:t xml:space="preserve">Monitoring </w:t>
            </w:r>
          </w:p>
        </w:tc>
        <w:tc>
          <w:tcPr>
            <w:tcW w:w="1792" w:type="dxa"/>
            <w:hideMark/>
          </w:tcPr>
          <w:p w14:paraId="60E1CA9D" w14:textId="77777777" w:rsidR="00753747" w:rsidRDefault="00753747" w:rsidP="008F29A3">
            <w:pPr>
              <w:pStyle w:val="BodyText"/>
            </w:pPr>
          </w:p>
          <w:p w14:paraId="5126C6C5" w14:textId="77777777" w:rsidR="00753747" w:rsidRDefault="00753747" w:rsidP="008F29A3">
            <w:pPr>
              <w:pStyle w:val="BodyText"/>
            </w:pPr>
          </w:p>
          <w:p w14:paraId="57A45652" w14:textId="77777777" w:rsidR="00753747" w:rsidRPr="00E826F3" w:rsidRDefault="00753747" w:rsidP="008F29A3">
            <w:pPr>
              <w:pStyle w:val="BodyText"/>
            </w:pPr>
          </w:p>
        </w:tc>
        <w:tc>
          <w:tcPr>
            <w:tcW w:w="5049" w:type="dxa"/>
            <w:hideMark/>
          </w:tcPr>
          <w:p w14:paraId="56907110" w14:textId="77777777" w:rsidR="00753747" w:rsidRPr="00E826F3" w:rsidRDefault="00753747" w:rsidP="008F29A3">
            <w:pPr>
              <w:pStyle w:val="BodyText"/>
            </w:pPr>
          </w:p>
        </w:tc>
      </w:tr>
      <w:tr w:rsidR="00753747" w:rsidRPr="00E826F3" w14:paraId="0AF69017" w14:textId="77777777" w:rsidTr="00753747">
        <w:trPr>
          <w:gridAfter w:val="1"/>
          <w:wAfter w:w="8" w:type="dxa"/>
          <w:trHeight w:val="667"/>
        </w:trPr>
        <w:tc>
          <w:tcPr>
            <w:tcW w:w="529" w:type="dxa"/>
            <w:hideMark/>
          </w:tcPr>
          <w:p w14:paraId="1E0D46C3" w14:textId="77777777" w:rsidR="00753747" w:rsidRPr="00E826F3" w:rsidRDefault="00753747" w:rsidP="008F29A3">
            <w:pPr>
              <w:pStyle w:val="BodyText"/>
            </w:pPr>
            <w:r w:rsidRPr="00E826F3">
              <w:t>6</w:t>
            </w:r>
          </w:p>
        </w:tc>
        <w:tc>
          <w:tcPr>
            <w:tcW w:w="1424" w:type="dxa"/>
            <w:hideMark/>
          </w:tcPr>
          <w:p w14:paraId="7E607596" w14:textId="77777777" w:rsidR="00753747" w:rsidRPr="00E826F3" w:rsidRDefault="00753747" w:rsidP="008F29A3">
            <w:pPr>
              <w:pStyle w:val="BodyText"/>
            </w:pPr>
            <w:r w:rsidRPr="00E826F3">
              <w:t>Reporting</w:t>
            </w:r>
          </w:p>
        </w:tc>
        <w:tc>
          <w:tcPr>
            <w:tcW w:w="1792" w:type="dxa"/>
            <w:hideMark/>
          </w:tcPr>
          <w:p w14:paraId="558BF806" w14:textId="77777777" w:rsidR="00753747" w:rsidRDefault="00753747" w:rsidP="008F29A3">
            <w:pPr>
              <w:pStyle w:val="BodyText"/>
            </w:pPr>
            <w:r w:rsidRPr="007641D0">
              <w:t xml:space="preserve"> </w:t>
            </w:r>
          </w:p>
          <w:p w14:paraId="75B6D3D2" w14:textId="77777777" w:rsidR="00753747" w:rsidRDefault="00753747" w:rsidP="008F29A3">
            <w:pPr>
              <w:pStyle w:val="BodyText"/>
            </w:pPr>
          </w:p>
          <w:p w14:paraId="01E910BC" w14:textId="77777777" w:rsidR="00753747" w:rsidRPr="007641D0" w:rsidRDefault="00753747" w:rsidP="008F29A3">
            <w:pPr>
              <w:pStyle w:val="BodyText"/>
            </w:pPr>
          </w:p>
        </w:tc>
        <w:tc>
          <w:tcPr>
            <w:tcW w:w="5049" w:type="dxa"/>
            <w:hideMark/>
          </w:tcPr>
          <w:p w14:paraId="6533B012" w14:textId="77777777" w:rsidR="00753747" w:rsidRPr="00E826F3" w:rsidRDefault="00753747" w:rsidP="008F29A3">
            <w:pPr>
              <w:pStyle w:val="BodyText"/>
            </w:pPr>
          </w:p>
        </w:tc>
      </w:tr>
      <w:tr w:rsidR="00753747" w:rsidRPr="00E826F3" w14:paraId="05C3597C" w14:textId="77777777" w:rsidTr="007537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1362"/>
        </w:trPr>
        <w:tc>
          <w:tcPr>
            <w:tcW w:w="529" w:type="dxa"/>
            <w:hideMark/>
          </w:tcPr>
          <w:p w14:paraId="30027BE7" w14:textId="77777777" w:rsidR="00753747" w:rsidRPr="00E826F3" w:rsidRDefault="00753747" w:rsidP="008F29A3">
            <w:pPr>
              <w:pStyle w:val="BodyText"/>
            </w:pPr>
            <w:r w:rsidRPr="00E826F3">
              <w:t>7</w:t>
            </w:r>
          </w:p>
        </w:tc>
        <w:tc>
          <w:tcPr>
            <w:tcW w:w="1424" w:type="dxa"/>
            <w:hideMark/>
          </w:tcPr>
          <w:p w14:paraId="6A581393" w14:textId="77777777" w:rsidR="00753747" w:rsidRPr="00E826F3" w:rsidRDefault="00753747" w:rsidP="008F29A3">
            <w:pPr>
              <w:pStyle w:val="BodyText"/>
            </w:pPr>
            <w:r w:rsidRPr="00E826F3">
              <w:t>Data</w:t>
            </w:r>
            <w:r>
              <w:t xml:space="preserve"> and Analytics</w:t>
            </w:r>
          </w:p>
        </w:tc>
        <w:tc>
          <w:tcPr>
            <w:tcW w:w="1792" w:type="dxa"/>
            <w:hideMark/>
          </w:tcPr>
          <w:p w14:paraId="4FF3D341" w14:textId="77777777" w:rsidR="00753747" w:rsidRPr="00E826F3" w:rsidRDefault="00753747" w:rsidP="008F29A3">
            <w:pPr>
              <w:pStyle w:val="BodyText"/>
            </w:pPr>
            <w:r w:rsidRPr="00E826F3">
              <w:t xml:space="preserve"> </w:t>
            </w:r>
          </w:p>
        </w:tc>
        <w:tc>
          <w:tcPr>
            <w:tcW w:w="5049" w:type="dxa"/>
            <w:hideMark/>
          </w:tcPr>
          <w:p w14:paraId="57FC512F" w14:textId="77777777" w:rsidR="00753747" w:rsidRPr="00E826F3" w:rsidRDefault="00753747" w:rsidP="008F29A3">
            <w:pPr>
              <w:pStyle w:val="BodyText"/>
            </w:pPr>
          </w:p>
        </w:tc>
      </w:tr>
    </w:tbl>
    <w:p w14:paraId="67145E03" w14:textId="77777777" w:rsidR="003A4677" w:rsidRDefault="00920CD8"/>
    <w:sectPr w:rsidR="003A4677" w:rsidSect="00D959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DD4"/>
    <w:multiLevelType w:val="hybridMultilevel"/>
    <w:tmpl w:val="19EA7464"/>
    <w:lvl w:ilvl="0" w:tplc="65088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7"/>
    <w:rsid w:val="00741335"/>
    <w:rsid w:val="00753747"/>
    <w:rsid w:val="00920CD8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432"/>
  <w15:chartTrackingRefBased/>
  <w15:docId w15:val="{8BBE1B7C-9814-854B-9551-2CDED60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7537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3747"/>
  </w:style>
  <w:style w:type="character" w:customStyle="1" w:styleId="BodyTextChar">
    <w:name w:val="Body Text Char"/>
    <w:basedOn w:val="DefaultParagraphFont"/>
    <w:link w:val="BodyText"/>
    <w:rsid w:val="007537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hidden/>
    <w:uiPriority w:val="34"/>
    <w:unhideWhenUsed/>
    <w:qFormat/>
    <w:rsid w:val="00753747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753747"/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ppendix5">
    <w:name w:val="Appendix 5"/>
    <w:basedOn w:val="BodyText"/>
    <w:next w:val="BodyText"/>
    <w:uiPriority w:val="34"/>
    <w:qFormat/>
    <w:rsid w:val="00753747"/>
    <w:pPr>
      <w:keepNext/>
      <w:numPr>
        <w:ilvl w:val="4"/>
        <w:numId w:val="2"/>
      </w:numPr>
      <w:spacing w:after="40"/>
      <w:outlineLvl w:val="4"/>
    </w:pPr>
  </w:style>
  <w:style w:type="paragraph" w:customStyle="1" w:styleId="Appendix4">
    <w:name w:val="Appendix 4"/>
    <w:basedOn w:val="BodyText"/>
    <w:next w:val="BodyText"/>
    <w:uiPriority w:val="34"/>
    <w:qFormat/>
    <w:rsid w:val="00753747"/>
    <w:pPr>
      <w:keepNext/>
      <w:numPr>
        <w:ilvl w:val="3"/>
        <w:numId w:val="2"/>
      </w:numPr>
      <w:spacing w:after="40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753747"/>
    <w:pPr>
      <w:keepNext/>
      <w:numPr>
        <w:ilvl w:val="2"/>
        <w:numId w:val="2"/>
      </w:numPr>
      <w:spacing w:after="40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753747"/>
    <w:pPr>
      <w:keepNext/>
      <w:numPr>
        <w:ilvl w:val="1"/>
        <w:numId w:val="2"/>
      </w:numPr>
      <w:spacing w:after="40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753747"/>
    <w:pPr>
      <w:keepNext/>
      <w:numPr>
        <w:numId w:val="2"/>
      </w:numPr>
      <w:spacing w:after="40"/>
      <w:outlineLvl w:val="0"/>
    </w:pPr>
    <w:rPr>
      <w:b/>
      <w:i/>
    </w:rPr>
  </w:style>
  <w:style w:type="paragraph" w:customStyle="1" w:styleId="Appendix6">
    <w:name w:val="Appendix 6"/>
    <w:basedOn w:val="BodyText"/>
    <w:next w:val="BodyText"/>
    <w:uiPriority w:val="34"/>
    <w:rsid w:val="00753747"/>
    <w:pPr>
      <w:keepNext/>
      <w:numPr>
        <w:ilvl w:val="5"/>
        <w:numId w:val="2"/>
      </w:numPr>
      <w:spacing w:after="40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753747"/>
    <w:pPr>
      <w:keepNext/>
      <w:numPr>
        <w:ilvl w:val="6"/>
        <w:numId w:val="2"/>
      </w:numPr>
      <w:spacing w:after="40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753747"/>
    <w:pPr>
      <w:keepNext/>
      <w:numPr>
        <w:ilvl w:val="7"/>
        <w:numId w:val="2"/>
      </w:numPr>
      <w:spacing w:after="40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753747"/>
    <w:pPr>
      <w:keepNext/>
      <w:numPr>
        <w:ilvl w:val="8"/>
        <w:numId w:val="2"/>
      </w:numPr>
      <w:spacing w:after="40"/>
      <w:outlineLvl w:val="8"/>
    </w:pPr>
  </w:style>
  <w:style w:type="paragraph" w:styleId="CommentText">
    <w:name w:val="annotation text"/>
    <w:basedOn w:val="Normal"/>
    <w:link w:val="CommentTextChar"/>
    <w:hidden/>
    <w:uiPriority w:val="99"/>
    <w:unhideWhenUsed/>
    <w:rsid w:val="00753747"/>
  </w:style>
  <w:style w:type="character" w:customStyle="1" w:styleId="CommentTextChar">
    <w:name w:val="Comment Text Char"/>
    <w:basedOn w:val="DefaultParagraphFont"/>
    <w:link w:val="CommentText"/>
    <w:uiPriority w:val="99"/>
    <w:rsid w:val="0075374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hidden/>
    <w:uiPriority w:val="99"/>
    <w:semiHidden/>
    <w:unhideWhenUsed/>
    <w:rsid w:val="007537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4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576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Paans-van der Arend, Diana</cp:lastModifiedBy>
  <cp:revision>2</cp:revision>
  <dcterms:created xsi:type="dcterms:W3CDTF">2019-06-03T19:33:00Z</dcterms:created>
  <dcterms:modified xsi:type="dcterms:W3CDTF">2019-06-03T19:33:00Z</dcterms:modified>
</cp:coreProperties>
</file>