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618AD" w14:textId="568ED691" w:rsidR="00A66F4B" w:rsidRDefault="00A66F4B" w:rsidP="00A66F4B">
      <w:pPr>
        <w:pStyle w:val="Appendix2"/>
        <w:numPr>
          <w:ilvl w:val="0"/>
          <w:numId w:val="0"/>
        </w:numPr>
      </w:pPr>
      <w:bookmarkStart w:id="0" w:name="_Toc8060610"/>
      <w:r>
        <w:t>Annex 13 - Distinctive Technical Requirements</w:t>
      </w:r>
      <w:bookmarkEnd w:id="0"/>
    </w:p>
    <w:p w14:paraId="088D5EC5" w14:textId="77777777" w:rsidR="00A66F4B" w:rsidRDefault="00A66F4B" w:rsidP="00A66F4B">
      <w:pPr>
        <w:spacing w:line="240" w:lineRule="atLeast"/>
      </w:pPr>
      <w:r>
        <w:t>The following technical requirements apply for the required services. These technical requirements are distinctive. The quality of the response provided will be awarded.</w:t>
      </w:r>
    </w:p>
    <w:p w14:paraId="32796EB4" w14:textId="77777777" w:rsidR="00A66F4B" w:rsidRDefault="00A66F4B" w:rsidP="00A66F4B">
      <w:pPr>
        <w:spacing w:line="240" w:lineRule="atLeast"/>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1348"/>
        <w:gridCol w:w="2828"/>
      </w:tblGrid>
      <w:tr w:rsidR="00A66F4B" w:rsidRPr="00C116C6" w14:paraId="0FC750FB" w14:textId="77777777" w:rsidTr="008C5F4D">
        <w:tc>
          <w:tcPr>
            <w:tcW w:w="5492" w:type="dxa"/>
            <w:shd w:val="clear" w:color="auto" w:fill="002B5C"/>
            <w:hideMark/>
          </w:tcPr>
          <w:p w14:paraId="7798BFA3" w14:textId="77777777" w:rsidR="00A66F4B" w:rsidRPr="007A0000" w:rsidRDefault="00A66F4B" w:rsidP="008F29A3">
            <w:pPr>
              <w:rPr>
                <w:b/>
                <w:lang w:val="en-GB" w:eastAsia="en-GB"/>
              </w:rPr>
            </w:pPr>
            <w:r>
              <w:rPr>
                <w:b/>
                <w:lang w:val="en-GB" w:eastAsia="en-GB"/>
              </w:rPr>
              <w:t>Interfaces</w:t>
            </w:r>
          </w:p>
        </w:tc>
        <w:tc>
          <w:tcPr>
            <w:tcW w:w="1363" w:type="dxa"/>
            <w:shd w:val="clear" w:color="auto" w:fill="002B5C"/>
            <w:hideMark/>
          </w:tcPr>
          <w:p w14:paraId="39FCBEA9" w14:textId="77777777" w:rsidR="00A66F4B" w:rsidRPr="00E86508" w:rsidRDefault="00A66F4B" w:rsidP="008F29A3">
            <w:pPr>
              <w:rPr>
                <w:b/>
                <w:lang w:val="en-GB" w:eastAsia="en-GB"/>
              </w:rPr>
            </w:pPr>
            <w:r>
              <w:rPr>
                <w:b/>
                <w:lang w:val="en-GB" w:eastAsia="en-GB"/>
              </w:rPr>
              <w:t>Yes/No/NA</w:t>
            </w:r>
          </w:p>
        </w:tc>
        <w:tc>
          <w:tcPr>
            <w:tcW w:w="2999" w:type="dxa"/>
            <w:shd w:val="clear" w:color="auto" w:fill="002B5C"/>
            <w:hideMark/>
          </w:tcPr>
          <w:p w14:paraId="302B2958" w14:textId="77777777" w:rsidR="00A66F4B" w:rsidRDefault="00A66F4B" w:rsidP="008F29A3">
            <w:pPr>
              <w:rPr>
                <w:b/>
                <w:lang w:val="en-GB" w:eastAsia="en-GB"/>
              </w:rPr>
            </w:pPr>
            <w:r w:rsidRPr="00E86508">
              <w:rPr>
                <w:b/>
                <w:lang w:val="en-GB" w:eastAsia="en-GB"/>
              </w:rPr>
              <w:t>Explanation</w:t>
            </w:r>
          </w:p>
          <w:p w14:paraId="02DDE78B" w14:textId="77777777" w:rsidR="00A66F4B" w:rsidRPr="003B5E88" w:rsidRDefault="00A66F4B" w:rsidP="00A66F4B">
            <w:pPr>
              <w:pStyle w:val="ListParagraph"/>
              <w:numPr>
                <w:ilvl w:val="0"/>
                <w:numId w:val="2"/>
              </w:numPr>
              <w:rPr>
                <w:rFonts w:ascii="Times" w:hAnsi="Times" w:cs="Arial"/>
                <w:sz w:val="20"/>
              </w:rPr>
            </w:pPr>
            <w:r w:rsidRPr="003B5E88">
              <w:rPr>
                <w:rFonts w:ascii="Times" w:hAnsi="Times" w:cs="Arial"/>
                <w:sz w:val="20"/>
              </w:rPr>
              <w:t xml:space="preserve">Explanation is </w:t>
            </w:r>
            <w:r w:rsidRPr="003B5E88">
              <w:rPr>
                <w:rFonts w:ascii="Times" w:hAnsi="Times" w:cs="Arial"/>
                <w:b/>
                <w:bCs/>
                <w:color w:val="FFFFFF" w:themeColor="background1"/>
                <w:sz w:val="20"/>
              </w:rPr>
              <w:t xml:space="preserve">mandatory, </w:t>
            </w:r>
          </w:p>
          <w:p w14:paraId="1608796B" w14:textId="77777777" w:rsidR="00A66F4B" w:rsidRDefault="00A66F4B" w:rsidP="00A66F4B">
            <w:pPr>
              <w:pStyle w:val="ListParagraph"/>
              <w:numPr>
                <w:ilvl w:val="0"/>
                <w:numId w:val="2"/>
              </w:numPr>
              <w:rPr>
                <w:rFonts w:ascii="Times" w:hAnsi="Times" w:cs="Arial"/>
                <w:sz w:val="20"/>
              </w:rPr>
            </w:pPr>
            <w:r w:rsidRPr="003B5E88">
              <w:rPr>
                <w:rFonts w:ascii="Times" w:hAnsi="Times" w:cs="Arial"/>
                <w:sz w:val="20"/>
              </w:rPr>
              <w:t xml:space="preserve">A </w:t>
            </w:r>
            <w:r w:rsidRPr="003B5E88">
              <w:rPr>
                <w:rFonts w:ascii="Times" w:hAnsi="Times" w:cs="Arial"/>
                <w:b/>
                <w:bCs/>
                <w:color w:val="FFFFFF" w:themeColor="background1"/>
                <w:sz w:val="20"/>
              </w:rPr>
              <w:t>maximum</w:t>
            </w:r>
            <w:r w:rsidRPr="003B5E88">
              <w:rPr>
                <w:rFonts w:ascii="Times" w:hAnsi="Times" w:cs="Arial"/>
                <w:sz w:val="20"/>
              </w:rPr>
              <w:t xml:space="preserve"> of</w:t>
            </w:r>
            <w:r w:rsidRPr="003B5E88">
              <w:rPr>
                <w:rFonts w:ascii="Times" w:hAnsi="Times" w:cs="Arial"/>
                <w:b/>
                <w:bCs/>
                <w:color w:val="FFFFFF" w:themeColor="background1"/>
                <w:sz w:val="20"/>
              </w:rPr>
              <w:t xml:space="preserve"> 200 words</w:t>
            </w:r>
            <w:r w:rsidRPr="003B5E88">
              <w:rPr>
                <w:rFonts w:ascii="Times" w:hAnsi="Times" w:cs="Arial"/>
                <w:sz w:val="20"/>
              </w:rPr>
              <w:t xml:space="preserve"> per explanation is allowed</w:t>
            </w:r>
          </w:p>
          <w:p w14:paraId="5E26C102" w14:textId="77777777" w:rsidR="00A66F4B" w:rsidRPr="00212119" w:rsidRDefault="00A66F4B" w:rsidP="00A66F4B">
            <w:pPr>
              <w:pStyle w:val="ListParagraph"/>
              <w:numPr>
                <w:ilvl w:val="0"/>
                <w:numId w:val="2"/>
              </w:numPr>
              <w:rPr>
                <w:rFonts w:ascii="Times" w:hAnsi="Times" w:cs="Arial"/>
                <w:sz w:val="20"/>
              </w:rPr>
            </w:pPr>
            <w:r w:rsidRPr="00212119">
              <w:rPr>
                <w:rFonts w:ascii="Times" w:hAnsi="Times" w:cs="Arial"/>
                <w:sz w:val="20"/>
              </w:rPr>
              <w:t>S</w:t>
            </w:r>
            <w:r w:rsidRPr="00212119">
              <w:rPr>
                <w:rFonts w:ascii="Times" w:hAnsi="Times" w:cs="Arial"/>
                <w:b/>
                <w:bCs/>
                <w:color w:val="FFFFFF" w:themeColor="background1"/>
                <w:sz w:val="20"/>
              </w:rPr>
              <w:t>creenshots</w:t>
            </w:r>
            <w:r w:rsidRPr="00212119">
              <w:rPr>
                <w:rFonts w:ascii="Times" w:hAnsi="Times" w:cs="Arial"/>
                <w:sz w:val="20"/>
              </w:rPr>
              <w:t xml:space="preserve"> are</w:t>
            </w:r>
            <w:r w:rsidRPr="00212119">
              <w:rPr>
                <w:rFonts w:ascii="Times" w:hAnsi="Times" w:cs="Arial"/>
                <w:b/>
                <w:bCs/>
                <w:color w:val="FFFFFF" w:themeColor="background1"/>
                <w:sz w:val="20"/>
              </w:rPr>
              <w:t xml:space="preserve"> allowed</w:t>
            </w:r>
          </w:p>
        </w:tc>
      </w:tr>
      <w:tr w:rsidR="00A66F4B" w:rsidRPr="00C116C6" w14:paraId="287FE069" w14:textId="77777777" w:rsidTr="008F29A3">
        <w:tc>
          <w:tcPr>
            <w:tcW w:w="5492" w:type="dxa"/>
            <w:vMerge w:val="restart"/>
          </w:tcPr>
          <w:p w14:paraId="6C7A6C32" w14:textId="77777777" w:rsidR="00A66F4B" w:rsidRPr="00F31D40" w:rsidRDefault="00A66F4B" w:rsidP="008F29A3">
            <w:pPr>
              <w:spacing w:after="200" w:line="276" w:lineRule="auto"/>
              <w:rPr>
                <w:lang w:val="en-GB" w:eastAsia="en-GB"/>
              </w:rPr>
            </w:pPr>
            <w:r w:rsidRPr="00F31D40">
              <w:rPr>
                <w:lang w:val="en-GB" w:eastAsia="en-GB"/>
              </w:rPr>
              <w:t>Interfaces between trusted and non-trusted networks must preferably be secured in the following way:</w:t>
            </w:r>
          </w:p>
          <w:p w14:paraId="2F95B127" w14:textId="77777777" w:rsidR="00A66F4B" w:rsidRPr="00F31D40" w:rsidRDefault="00A66F4B" w:rsidP="008F29A3">
            <w:pPr>
              <w:spacing w:after="200" w:line="276" w:lineRule="auto"/>
              <w:rPr>
                <w:lang w:val="en-GB" w:eastAsia="en-GB"/>
              </w:rPr>
            </w:pPr>
            <w:r w:rsidRPr="00F31D40">
              <w:rPr>
                <w:lang w:val="en-GB" w:eastAsia="en-GB"/>
              </w:rPr>
              <w:t>- Channel encryption by means of a PKI-SSL certificate</w:t>
            </w:r>
          </w:p>
          <w:p w14:paraId="1CB9E9BB" w14:textId="77777777" w:rsidR="00A66F4B" w:rsidRPr="00F31D40" w:rsidRDefault="00A66F4B" w:rsidP="008F29A3">
            <w:pPr>
              <w:spacing w:after="200" w:line="276" w:lineRule="auto"/>
              <w:rPr>
                <w:lang w:val="en-GB" w:eastAsia="en-GB"/>
              </w:rPr>
            </w:pPr>
            <w:r w:rsidRPr="00F31D40">
              <w:rPr>
                <w:lang w:val="en-GB" w:eastAsia="en-GB"/>
              </w:rPr>
              <w:t>- Device authentication by means of a PKI certificate</w:t>
            </w:r>
          </w:p>
          <w:p w14:paraId="23486621" w14:textId="77777777" w:rsidR="00A66F4B" w:rsidRPr="00F31D40" w:rsidRDefault="00A66F4B" w:rsidP="008F29A3">
            <w:pPr>
              <w:spacing w:after="200" w:line="276" w:lineRule="auto"/>
              <w:rPr>
                <w:lang w:val="en-GB" w:eastAsia="en-GB"/>
              </w:rPr>
            </w:pPr>
            <w:r w:rsidRPr="00F31D40">
              <w:rPr>
                <w:lang w:val="en-GB" w:eastAsia="en-GB"/>
              </w:rPr>
              <w:t>- Filtering based on IP-numbers</w:t>
            </w:r>
          </w:p>
          <w:p w14:paraId="2B82C67F" w14:textId="77777777" w:rsidR="00A66F4B" w:rsidRPr="00F31D40" w:rsidRDefault="00A66F4B" w:rsidP="008F29A3">
            <w:pPr>
              <w:spacing w:after="200" w:line="276" w:lineRule="auto"/>
              <w:rPr>
                <w:lang w:val="en-GB" w:eastAsia="en-GB"/>
              </w:rPr>
            </w:pPr>
            <w:r w:rsidRPr="00F31D40">
              <w:rPr>
                <w:lang w:val="en-GB" w:eastAsia="en-GB"/>
              </w:rPr>
              <w:t>- Segmentation of networks with different security levels</w:t>
            </w:r>
          </w:p>
          <w:p w14:paraId="5305CD0D" w14:textId="77777777" w:rsidR="00A66F4B" w:rsidRPr="00F31D40" w:rsidRDefault="00A66F4B" w:rsidP="008F29A3">
            <w:pPr>
              <w:spacing w:after="200" w:line="276" w:lineRule="auto"/>
              <w:rPr>
                <w:lang w:val="en-GB" w:eastAsia="en-GB"/>
              </w:rPr>
            </w:pPr>
            <w:r w:rsidRPr="00F31D40">
              <w:rPr>
                <w:lang w:val="en-GB" w:eastAsia="en-GB"/>
              </w:rPr>
              <w:t>- Intrusion detection</w:t>
            </w:r>
          </w:p>
          <w:p w14:paraId="2098608A" w14:textId="77777777" w:rsidR="00A66F4B" w:rsidRPr="00C116C6" w:rsidRDefault="00A66F4B" w:rsidP="008F29A3">
            <w:pPr>
              <w:spacing w:after="200" w:line="276" w:lineRule="auto"/>
              <w:rPr>
                <w:lang w:val="en-GB" w:eastAsia="en-GB"/>
              </w:rPr>
            </w:pPr>
            <w:r w:rsidRPr="00F31D40">
              <w:rPr>
                <w:lang w:val="en-GB" w:eastAsia="en-GB"/>
              </w:rPr>
              <w:t>- (Technical) logging</w:t>
            </w:r>
          </w:p>
        </w:tc>
        <w:tc>
          <w:tcPr>
            <w:tcW w:w="1363" w:type="dxa"/>
            <w:hideMark/>
          </w:tcPr>
          <w:p w14:paraId="10BC486E" w14:textId="77777777" w:rsidR="00A66F4B" w:rsidRPr="00C116C6" w:rsidRDefault="00A66F4B" w:rsidP="008F29A3">
            <w:pPr>
              <w:spacing w:after="200" w:line="276" w:lineRule="auto"/>
              <w:rPr>
                <w:lang w:val="en-GB" w:eastAsia="en-GB"/>
              </w:rPr>
            </w:pPr>
          </w:p>
        </w:tc>
        <w:tc>
          <w:tcPr>
            <w:tcW w:w="2999" w:type="dxa"/>
            <w:hideMark/>
          </w:tcPr>
          <w:p w14:paraId="22336394" w14:textId="77777777" w:rsidR="00A66F4B" w:rsidRPr="00C116C6" w:rsidRDefault="00A66F4B" w:rsidP="008F29A3">
            <w:pPr>
              <w:spacing w:after="200" w:line="276" w:lineRule="auto"/>
              <w:rPr>
                <w:lang w:val="en-GB" w:eastAsia="en-GB"/>
              </w:rPr>
            </w:pPr>
          </w:p>
        </w:tc>
      </w:tr>
      <w:tr w:rsidR="00A66F4B" w:rsidRPr="00C116C6" w14:paraId="69F07E89" w14:textId="77777777" w:rsidTr="008F29A3">
        <w:trPr>
          <w:trHeight w:val="1572"/>
        </w:trPr>
        <w:tc>
          <w:tcPr>
            <w:tcW w:w="5492" w:type="dxa"/>
            <w:vMerge/>
          </w:tcPr>
          <w:p w14:paraId="4CD0E619" w14:textId="77777777" w:rsidR="00A66F4B" w:rsidRPr="00C116C6" w:rsidRDefault="00A66F4B" w:rsidP="008F29A3">
            <w:pPr>
              <w:spacing w:after="200" w:line="276" w:lineRule="auto"/>
              <w:rPr>
                <w:lang w:val="en-GB" w:eastAsia="en-GB"/>
              </w:rPr>
            </w:pPr>
          </w:p>
        </w:tc>
        <w:tc>
          <w:tcPr>
            <w:tcW w:w="1363" w:type="dxa"/>
          </w:tcPr>
          <w:p w14:paraId="051831A4" w14:textId="77777777" w:rsidR="00A66F4B" w:rsidRPr="00C116C6" w:rsidRDefault="00A66F4B" w:rsidP="008F29A3">
            <w:pPr>
              <w:spacing w:after="200" w:line="276" w:lineRule="auto"/>
              <w:rPr>
                <w:lang w:val="en-GB" w:eastAsia="en-GB"/>
              </w:rPr>
            </w:pPr>
          </w:p>
        </w:tc>
        <w:tc>
          <w:tcPr>
            <w:tcW w:w="2999" w:type="dxa"/>
          </w:tcPr>
          <w:p w14:paraId="0C350AEB" w14:textId="77777777" w:rsidR="00A66F4B" w:rsidRPr="00C116C6" w:rsidRDefault="00A66F4B" w:rsidP="008F29A3">
            <w:pPr>
              <w:spacing w:after="200" w:line="276" w:lineRule="auto"/>
              <w:rPr>
                <w:lang w:val="en-GB" w:eastAsia="en-GB"/>
              </w:rPr>
            </w:pPr>
          </w:p>
        </w:tc>
      </w:tr>
    </w:tbl>
    <w:p w14:paraId="4A332B34" w14:textId="77777777" w:rsidR="00A66F4B" w:rsidRDefault="00A66F4B" w:rsidP="00A66F4B">
      <w:pPr>
        <w:spacing w:line="240" w:lineRule="atLeast"/>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1337"/>
        <w:gridCol w:w="2709"/>
      </w:tblGrid>
      <w:tr w:rsidR="00A66F4B" w:rsidRPr="00C116C6" w14:paraId="164BFD84" w14:textId="77777777" w:rsidTr="008C5F4D">
        <w:tc>
          <w:tcPr>
            <w:tcW w:w="5492" w:type="dxa"/>
            <w:shd w:val="clear" w:color="auto" w:fill="002B5C"/>
            <w:hideMark/>
          </w:tcPr>
          <w:p w14:paraId="280D5723" w14:textId="77777777" w:rsidR="00A66F4B" w:rsidRPr="007A0000" w:rsidRDefault="00A66F4B" w:rsidP="008F29A3">
            <w:pPr>
              <w:rPr>
                <w:b/>
                <w:lang w:val="en-GB" w:eastAsia="en-GB"/>
              </w:rPr>
            </w:pPr>
            <w:r>
              <w:rPr>
                <w:b/>
                <w:lang w:val="en-GB" w:eastAsia="en-GB"/>
              </w:rPr>
              <w:t>Access Rights</w:t>
            </w:r>
          </w:p>
        </w:tc>
        <w:tc>
          <w:tcPr>
            <w:tcW w:w="1363" w:type="dxa"/>
            <w:shd w:val="clear" w:color="auto" w:fill="002B5C"/>
            <w:hideMark/>
          </w:tcPr>
          <w:p w14:paraId="22D4AD1D" w14:textId="77777777" w:rsidR="00A66F4B" w:rsidRPr="00E86508" w:rsidRDefault="00A66F4B" w:rsidP="008F29A3">
            <w:pPr>
              <w:rPr>
                <w:b/>
                <w:lang w:val="en-GB" w:eastAsia="en-GB"/>
              </w:rPr>
            </w:pPr>
            <w:r>
              <w:rPr>
                <w:b/>
                <w:lang w:val="en-GB" w:eastAsia="en-GB"/>
              </w:rPr>
              <w:t>Yes/No/NA</w:t>
            </w:r>
          </w:p>
        </w:tc>
        <w:tc>
          <w:tcPr>
            <w:tcW w:w="2999" w:type="dxa"/>
            <w:shd w:val="clear" w:color="auto" w:fill="002B5C"/>
            <w:hideMark/>
          </w:tcPr>
          <w:p w14:paraId="5401EB61" w14:textId="77777777" w:rsidR="00A66F4B" w:rsidRDefault="00A66F4B" w:rsidP="008F29A3">
            <w:pPr>
              <w:rPr>
                <w:b/>
                <w:lang w:val="en-GB" w:eastAsia="en-GB"/>
              </w:rPr>
            </w:pPr>
            <w:r w:rsidRPr="00E86508">
              <w:rPr>
                <w:b/>
                <w:lang w:val="en-GB" w:eastAsia="en-GB"/>
              </w:rPr>
              <w:t>Explanation</w:t>
            </w:r>
          </w:p>
          <w:p w14:paraId="68AFCAC4" w14:textId="77777777" w:rsidR="00A66F4B" w:rsidRPr="003B5E88" w:rsidRDefault="00A66F4B" w:rsidP="00A66F4B">
            <w:pPr>
              <w:pStyle w:val="ListParagraph"/>
              <w:numPr>
                <w:ilvl w:val="0"/>
                <w:numId w:val="2"/>
              </w:numPr>
              <w:rPr>
                <w:rFonts w:ascii="Times" w:hAnsi="Times" w:cs="Arial"/>
                <w:sz w:val="20"/>
              </w:rPr>
            </w:pPr>
            <w:r w:rsidRPr="003B5E88">
              <w:rPr>
                <w:rFonts w:ascii="Times" w:hAnsi="Times" w:cs="Arial"/>
                <w:sz w:val="20"/>
              </w:rPr>
              <w:t xml:space="preserve">Explanation is </w:t>
            </w:r>
            <w:r w:rsidRPr="003B5E88">
              <w:rPr>
                <w:rFonts w:ascii="Times" w:hAnsi="Times" w:cs="Arial"/>
                <w:b/>
                <w:bCs/>
                <w:color w:val="FFFFFF" w:themeColor="background1"/>
                <w:sz w:val="20"/>
              </w:rPr>
              <w:t xml:space="preserve">mandatory, </w:t>
            </w:r>
          </w:p>
          <w:p w14:paraId="3B02BBF0" w14:textId="77777777" w:rsidR="00A66F4B" w:rsidRDefault="00A66F4B" w:rsidP="00A66F4B">
            <w:pPr>
              <w:pStyle w:val="ListParagraph"/>
              <w:numPr>
                <w:ilvl w:val="0"/>
                <w:numId w:val="2"/>
              </w:numPr>
              <w:rPr>
                <w:rFonts w:ascii="Times" w:hAnsi="Times" w:cs="Arial"/>
                <w:sz w:val="20"/>
              </w:rPr>
            </w:pPr>
            <w:r w:rsidRPr="003B5E88">
              <w:rPr>
                <w:rFonts w:ascii="Times" w:hAnsi="Times" w:cs="Arial"/>
                <w:sz w:val="20"/>
              </w:rPr>
              <w:t xml:space="preserve">A </w:t>
            </w:r>
            <w:r w:rsidRPr="003B5E88">
              <w:rPr>
                <w:rFonts w:ascii="Times" w:hAnsi="Times" w:cs="Arial"/>
                <w:b/>
                <w:bCs/>
                <w:color w:val="FFFFFF" w:themeColor="background1"/>
                <w:sz w:val="20"/>
              </w:rPr>
              <w:t>maximum</w:t>
            </w:r>
            <w:r w:rsidRPr="003B5E88">
              <w:rPr>
                <w:rFonts w:ascii="Times" w:hAnsi="Times" w:cs="Arial"/>
                <w:sz w:val="20"/>
              </w:rPr>
              <w:t xml:space="preserve"> of</w:t>
            </w:r>
            <w:r w:rsidRPr="003B5E88">
              <w:rPr>
                <w:rFonts w:ascii="Times" w:hAnsi="Times" w:cs="Arial"/>
                <w:b/>
                <w:bCs/>
                <w:color w:val="FFFFFF" w:themeColor="background1"/>
                <w:sz w:val="20"/>
              </w:rPr>
              <w:t xml:space="preserve"> 200 words</w:t>
            </w:r>
            <w:r w:rsidRPr="003B5E88">
              <w:rPr>
                <w:rFonts w:ascii="Times" w:hAnsi="Times" w:cs="Arial"/>
                <w:sz w:val="20"/>
              </w:rPr>
              <w:t xml:space="preserve"> per explanation is allowed</w:t>
            </w:r>
          </w:p>
          <w:p w14:paraId="72F0ADE4" w14:textId="77777777" w:rsidR="00A66F4B" w:rsidRPr="00212119" w:rsidRDefault="00A66F4B" w:rsidP="00A66F4B">
            <w:pPr>
              <w:pStyle w:val="ListParagraph"/>
              <w:numPr>
                <w:ilvl w:val="0"/>
                <w:numId w:val="2"/>
              </w:numPr>
              <w:rPr>
                <w:rFonts w:ascii="Times" w:hAnsi="Times" w:cs="Arial"/>
                <w:sz w:val="20"/>
              </w:rPr>
            </w:pPr>
            <w:r w:rsidRPr="00212119">
              <w:rPr>
                <w:rFonts w:ascii="Times" w:hAnsi="Times" w:cs="Arial"/>
                <w:sz w:val="20"/>
              </w:rPr>
              <w:t>S</w:t>
            </w:r>
            <w:r w:rsidRPr="00212119">
              <w:rPr>
                <w:rFonts w:ascii="Times" w:hAnsi="Times" w:cs="Arial"/>
                <w:b/>
                <w:bCs/>
                <w:color w:val="FFFFFF" w:themeColor="background1"/>
                <w:sz w:val="20"/>
              </w:rPr>
              <w:t>creenshots</w:t>
            </w:r>
            <w:r w:rsidRPr="00212119">
              <w:rPr>
                <w:rFonts w:ascii="Times" w:hAnsi="Times" w:cs="Arial"/>
                <w:sz w:val="20"/>
              </w:rPr>
              <w:t xml:space="preserve"> are</w:t>
            </w:r>
            <w:r w:rsidRPr="00212119">
              <w:rPr>
                <w:rFonts w:ascii="Times" w:hAnsi="Times" w:cs="Arial"/>
                <w:b/>
                <w:bCs/>
                <w:color w:val="FFFFFF" w:themeColor="background1"/>
                <w:sz w:val="20"/>
              </w:rPr>
              <w:t xml:space="preserve"> allowed</w:t>
            </w:r>
          </w:p>
        </w:tc>
      </w:tr>
      <w:tr w:rsidR="00A66F4B" w:rsidRPr="00C116C6" w14:paraId="6E5F5FDE" w14:textId="77777777" w:rsidTr="008F29A3">
        <w:tc>
          <w:tcPr>
            <w:tcW w:w="5492" w:type="dxa"/>
            <w:vMerge w:val="restart"/>
          </w:tcPr>
          <w:p w14:paraId="7C4963D3" w14:textId="77777777" w:rsidR="00A66F4B" w:rsidRPr="00C116C6" w:rsidRDefault="00A66F4B" w:rsidP="008F29A3">
            <w:pPr>
              <w:spacing w:after="200" w:line="276" w:lineRule="auto"/>
              <w:rPr>
                <w:lang w:val="en-GB" w:eastAsia="en-GB"/>
              </w:rPr>
            </w:pPr>
            <w:r w:rsidRPr="00F31D40">
              <w:rPr>
                <w:lang w:val="en-GB" w:eastAsia="en-GB"/>
              </w:rPr>
              <w:t xml:space="preserve">The </w:t>
            </w:r>
            <w:r>
              <w:rPr>
                <w:lang w:val="en-GB" w:eastAsia="en-GB"/>
              </w:rPr>
              <w:t>Tender</w:t>
            </w:r>
            <w:r w:rsidRPr="00F31D40">
              <w:rPr>
                <w:lang w:val="en-GB" w:eastAsia="en-GB"/>
              </w:rPr>
              <w:t xml:space="preserve"> shall provide upon request a description of the qualifications of the personnel that has access to or can have access to th</w:t>
            </w:r>
            <w:r>
              <w:rPr>
                <w:lang w:val="en-GB" w:eastAsia="en-GB"/>
              </w:rPr>
              <w:t xml:space="preserve">e systems where data of FMO are </w:t>
            </w:r>
            <w:r w:rsidRPr="00F31D40">
              <w:rPr>
                <w:lang w:val="en-GB" w:eastAsia="en-GB"/>
              </w:rPr>
              <w:t>present.</w:t>
            </w:r>
          </w:p>
        </w:tc>
        <w:tc>
          <w:tcPr>
            <w:tcW w:w="1363" w:type="dxa"/>
            <w:hideMark/>
          </w:tcPr>
          <w:p w14:paraId="2687A2AB" w14:textId="77777777" w:rsidR="00A66F4B" w:rsidRPr="00C116C6" w:rsidRDefault="00A66F4B" w:rsidP="008F29A3">
            <w:pPr>
              <w:spacing w:after="200" w:line="276" w:lineRule="auto"/>
              <w:rPr>
                <w:lang w:val="en-GB" w:eastAsia="en-GB"/>
              </w:rPr>
            </w:pPr>
          </w:p>
        </w:tc>
        <w:tc>
          <w:tcPr>
            <w:tcW w:w="2999" w:type="dxa"/>
            <w:hideMark/>
          </w:tcPr>
          <w:p w14:paraId="3C784E44" w14:textId="77777777" w:rsidR="00A66F4B" w:rsidRPr="00C116C6" w:rsidRDefault="00A66F4B" w:rsidP="008F29A3">
            <w:pPr>
              <w:spacing w:after="200" w:line="276" w:lineRule="auto"/>
              <w:rPr>
                <w:lang w:val="en-GB" w:eastAsia="en-GB"/>
              </w:rPr>
            </w:pPr>
          </w:p>
        </w:tc>
      </w:tr>
      <w:tr w:rsidR="00A66F4B" w:rsidRPr="00C116C6" w14:paraId="2D88E4C0" w14:textId="77777777" w:rsidTr="008F29A3">
        <w:trPr>
          <w:trHeight w:val="1572"/>
        </w:trPr>
        <w:tc>
          <w:tcPr>
            <w:tcW w:w="5492" w:type="dxa"/>
            <w:vMerge/>
          </w:tcPr>
          <w:p w14:paraId="5BEDA755" w14:textId="77777777" w:rsidR="00A66F4B" w:rsidRPr="00C116C6" w:rsidRDefault="00A66F4B" w:rsidP="008F29A3">
            <w:pPr>
              <w:spacing w:after="200" w:line="276" w:lineRule="auto"/>
              <w:rPr>
                <w:lang w:val="en-GB" w:eastAsia="en-GB"/>
              </w:rPr>
            </w:pPr>
          </w:p>
        </w:tc>
        <w:tc>
          <w:tcPr>
            <w:tcW w:w="1363" w:type="dxa"/>
          </w:tcPr>
          <w:p w14:paraId="47394012" w14:textId="77777777" w:rsidR="00A66F4B" w:rsidRPr="00C116C6" w:rsidRDefault="00A66F4B" w:rsidP="008F29A3">
            <w:pPr>
              <w:spacing w:after="200" w:line="276" w:lineRule="auto"/>
              <w:rPr>
                <w:lang w:val="en-GB" w:eastAsia="en-GB"/>
              </w:rPr>
            </w:pPr>
          </w:p>
        </w:tc>
        <w:tc>
          <w:tcPr>
            <w:tcW w:w="2999" w:type="dxa"/>
          </w:tcPr>
          <w:p w14:paraId="7A5BC45C" w14:textId="77777777" w:rsidR="00A66F4B" w:rsidRPr="00C116C6" w:rsidRDefault="00A66F4B" w:rsidP="008F29A3">
            <w:pPr>
              <w:spacing w:after="200" w:line="276" w:lineRule="auto"/>
              <w:rPr>
                <w:lang w:val="en-GB" w:eastAsia="en-GB"/>
              </w:rPr>
            </w:pPr>
          </w:p>
        </w:tc>
      </w:tr>
      <w:tr w:rsidR="00A66F4B" w:rsidRPr="00C116C6" w14:paraId="59F17FC2" w14:textId="77777777" w:rsidTr="008F29A3">
        <w:trPr>
          <w:trHeight w:val="1572"/>
        </w:trPr>
        <w:tc>
          <w:tcPr>
            <w:tcW w:w="5492" w:type="dxa"/>
          </w:tcPr>
          <w:p w14:paraId="77BC5FCE" w14:textId="77777777" w:rsidR="00A66F4B" w:rsidRPr="00F31D40" w:rsidRDefault="00A66F4B" w:rsidP="008F29A3">
            <w:pPr>
              <w:spacing w:after="200" w:line="276" w:lineRule="auto"/>
              <w:rPr>
                <w:lang w:eastAsia="en-GB"/>
              </w:rPr>
            </w:pPr>
            <w:r w:rsidRPr="00F31D40">
              <w:rPr>
                <w:rFonts w:ascii="Times" w:hAnsi="Times" w:cs="Arial"/>
                <w:color w:val="000000"/>
              </w:rPr>
              <w:t>There shall be a strict segregation of duties between e.g. a person that has both regular access and system administration access. Administration and functional usage should be separated.</w:t>
            </w:r>
          </w:p>
        </w:tc>
        <w:tc>
          <w:tcPr>
            <w:tcW w:w="1363" w:type="dxa"/>
          </w:tcPr>
          <w:p w14:paraId="10B45BAC" w14:textId="77777777" w:rsidR="00A66F4B" w:rsidRPr="00C116C6" w:rsidRDefault="00A66F4B" w:rsidP="008F29A3">
            <w:pPr>
              <w:spacing w:after="200" w:line="276" w:lineRule="auto"/>
              <w:rPr>
                <w:lang w:val="en-GB" w:eastAsia="en-GB"/>
              </w:rPr>
            </w:pPr>
          </w:p>
        </w:tc>
        <w:tc>
          <w:tcPr>
            <w:tcW w:w="2999" w:type="dxa"/>
          </w:tcPr>
          <w:p w14:paraId="722D9672" w14:textId="77777777" w:rsidR="00A66F4B" w:rsidRPr="00C116C6" w:rsidRDefault="00A66F4B" w:rsidP="008F29A3">
            <w:pPr>
              <w:spacing w:after="200" w:line="276" w:lineRule="auto"/>
              <w:rPr>
                <w:lang w:val="en-GB" w:eastAsia="en-GB"/>
              </w:rPr>
            </w:pPr>
          </w:p>
        </w:tc>
      </w:tr>
      <w:tr w:rsidR="00A66F4B" w:rsidRPr="00C116C6" w14:paraId="7DCC144F" w14:textId="77777777" w:rsidTr="008F29A3">
        <w:trPr>
          <w:trHeight w:val="1572"/>
        </w:trPr>
        <w:tc>
          <w:tcPr>
            <w:tcW w:w="5492" w:type="dxa"/>
          </w:tcPr>
          <w:p w14:paraId="20BF287E" w14:textId="77777777" w:rsidR="00A66F4B" w:rsidRPr="00F31D40" w:rsidRDefault="00A66F4B" w:rsidP="008F29A3">
            <w:pPr>
              <w:spacing w:after="200" w:line="276" w:lineRule="auto"/>
              <w:rPr>
                <w:lang w:val="en-GB" w:eastAsia="en-GB"/>
              </w:rPr>
            </w:pPr>
            <w:r w:rsidRPr="00F31D40">
              <w:rPr>
                <w:rFonts w:ascii="Times" w:hAnsi="Times" w:cs="Arial"/>
                <w:color w:val="000000"/>
              </w:rPr>
              <w:lastRenderedPageBreak/>
              <w:t>There are measures applied to prevent the threat of information misuse by personnel and (sub-)contractors e.g. the illicit access to services and data should be prevented.</w:t>
            </w:r>
          </w:p>
        </w:tc>
        <w:tc>
          <w:tcPr>
            <w:tcW w:w="1363" w:type="dxa"/>
          </w:tcPr>
          <w:p w14:paraId="60813CA4" w14:textId="77777777" w:rsidR="00A66F4B" w:rsidRPr="00C116C6" w:rsidRDefault="00A66F4B" w:rsidP="008F29A3">
            <w:pPr>
              <w:spacing w:after="200" w:line="276" w:lineRule="auto"/>
              <w:rPr>
                <w:lang w:val="en-GB" w:eastAsia="en-GB"/>
              </w:rPr>
            </w:pPr>
          </w:p>
        </w:tc>
        <w:tc>
          <w:tcPr>
            <w:tcW w:w="2999" w:type="dxa"/>
          </w:tcPr>
          <w:p w14:paraId="59005BBC" w14:textId="77777777" w:rsidR="00A66F4B" w:rsidRPr="00C116C6" w:rsidRDefault="00A66F4B" w:rsidP="008F29A3">
            <w:pPr>
              <w:spacing w:after="200" w:line="276" w:lineRule="auto"/>
              <w:rPr>
                <w:lang w:val="en-GB" w:eastAsia="en-GB"/>
              </w:rPr>
            </w:pPr>
          </w:p>
        </w:tc>
      </w:tr>
      <w:tr w:rsidR="00A66F4B" w:rsidRPr="00C116C6" w14:paraId="13AFCE42" w14:textId="77777777" w:rsidTr="008F29A3">
        <w:trPr>
          <w:trHeight w:val="1572"/>
        </w:trPr>
        <w:tc>
          <w:tcPr>
            <w:tcW w:w="5492" w:type="dxa"/>
          </w:tcPr>
          <w:p w14:paraId="193412D0" w14:textId="77777777" w:rsidR="00A66F4B" w:rsidRPr="00F31D40" w:rsidRDefault="00A66F4B" w:rsidP="008F29A3">
            <w:pPr>
              <w:spacing w:after="200" w:line="276" w:lineRule="auto"/>
              <w:rPr>
                <w:rFonts w:ascii="Times" w:hAnsi="Times" w:cs="Arial"/>
                <w:color w:val="000000"/>
              </w:rPr>
            </w:pPr>
            <w:r w:rsidRPr="00F31D40">
              <w:rPr>
                <w:rFonts w:ascii="Times" w:hAnsi="Times" w:cs="Arial"/>
                <w:color w:val="000000"/>
              </w:rPr>
              <w:t xml:space="preserve">The </w:t>
            </w:r>
            <w:r>
              <w:rPr>
                <w:rFonts w:ascii="Times" w:hAnsi="Times" w:cs="Arial"/>
                <w:color w:val="000000"/>
              </w:rPr>
              <w:t>Tender</w:t>
            </w:r>
            <w:r w:rsidRPr="00F31D40">
              <w:rPr>
                <w:rFonts w:ascii="Times" w:hAnsi="Times" w:cs="Arial"/>
                <w:color w:val="000000"/>
              </w:rPr>
              <w:t xml:space="preserve"> shall have demonstrable controls in place concerning strong user authentication for access to data. Tenderer shall demonstrate upon request a description of the means of user authentication for access to data (username/password/additional authentication/SMS/token/biometrics) and to which specifications these comply (password maximum 7 characters, capitals, lower case, numerical or special characters).</w:t>
            </w:r>
          </w:p>
        </w:tc>
        <w:tc>
          <w:tcPr>
            <w:tcW w:w="1363" w:type="dxa"/>
          </w:tcPr>
          <w:p w14:paraId="7DC26FA1" w14:textId="77777777" w:rsidR="00A66F4B" w:rsidRPr="00C116C6" w:rsidRDefault="00A66F4B" w:rsidP="008F29A3">
            <w:pPr>
              <w:spacing w:after="200" w:line="276" w:lineRule="auto"/>
              <w:rPr>
                <w:lang w:val="en-GB" w:eastAsia="en-GB"/>
              </w:rPr>
            </w:pPr>
          </w:p>
        </w:tc>
        <w:tc>
          <w:tcPr>
            <w:tcW w:w="2999" w:type="dxa"/>
          </w:tcPr>
          <w:p w14:paraId="27416AED" w14:textId="77777777" w:rsidR="00A66F4B" w:rsidRPr="00C116C6" w:rsidRDefault="00A66F4B" w:rsidP="008F29A3">
            <w:pPr>
              <w:spacing w:after="200" w:line="276" w:lineRule="auto"/>
              <w:rPr>
                <w:lang w:val="en-GB" w:eastAsia="en-GB"/>
              </w:rPr>
            </w:pPr>
          </w:p>
        </w:tc>
      </w:tr>
    </w:tbl>
    <w:p w14:paraId="5A886A61" w14:textId="77777777" w:rsidR="00A66F4B" w:rsidRDefault="00A66F4B" w:rsidP="00A66F4B">
      <w:pPr>
        <w:spacing w:line="240" w:lineRule="atLeast"/>
      </w:pPr>
    </w:p>
    <w:p w14:paraId="3E65F21E" w14:textId="77777777" w:rsidR="00A66F4B" w:rsidRDefault="00A66F4B" w:rsidP="00A66F4B">
      <w:pPr>
        <w:spacing w:line="240" w:lineRule="atLeast"/>
      </w:pPr>
    </w:p>
    <w:tbl>
      <w:tblPr>
        <w:tblStyle w:val="LightList-Accent11"/>
        <w:tblW w:w="984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815"/>
        <w:gridCol w:w="1701"/>
        <w:gridCol w:w="3328"/>
      </w:tblGrid>
      <w:tr w:rsidR="00A66F4B" w:rsidRPr="001235F1" w14:paraId="4483C6B2" w14:textId="77777777" w:rsidTr="008C5F4D">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815" w:type="dxa"/>
            <w:shd w:val="clear" w:color="auto" w:fill="002B5C"/>
          </w:tcPr>
          <w:p w14:paraId="68062B6F" w14:textId="77777777" w:rsidR="00A66F4B" w:rsidRPr="001235F1" w:rsidRDefault="00A66F4B" w:rsidP="008F29A3">
            <w:pPr>
              <w:rPr>
                <w:rFonts w:ascii="Times" w:hAnsi="Times" w:cs="Arial"/>
              </w:rPr>
            </w:pPr>
            <w:bookmarkStart w:id="1" w:name="_GoBack"/>
            <w:r>
              <w:rPr>
                <w:rFonts w:ascii="Times" w:hAnsi="Times" w:cs="Arial"/>
              </w:rPr>
              <w:t>Security</w:t>
            </w:r>
          </w:p>
        </w:tc>
        <w:tc>
          <w:tcPr>
            <w:tcW w:w="1701" w:type="dxa"/>
            <w:shd w:val="clear" w:color="auto" w:fill="002B5C"/>
          </w:tcPr>
          <w:p w14:paraId="4FBD268D" w14:textId="77777777" w:rsidR="00A66F4B" w:rsidRPr="001235F1" w:rsidRDefault="00A66F4B" w:rsidP="008F29A3">
            <w:pPr>
              <w:cnfStyle w:val="100000000000" w:firstRow="1" w:lastRow="0" w:firstColumn="0" w:lastColumn="0" w:oddVBand="0" w:evenVBand="0" w:oddHBand="0" w:evenHBand="0" w:firstRowFirstColumn="0" w:firstRowLastColumn="0" w:lastRowFirstColumn="0" w:lastRowLastColumn="0"/>
              <w:rPr>
                <w:rFonts w:ascii="Times" w:hAnsi="Times" w:cs="Arial"/>
                <w:b w:val="0"/>
                <w:bCs w:val="0"/>
                <w:sz w:val="12"/>
                <w:szCs w:val="12"/>
              </w:rPr>
            </w:pPr>
            <w:r>
              <w:rPr>
                <w:rFonts w:ascii="Times" w:hAnsi="Times" w:cs="Arial"/>
              </w:rPr>
              <w:t>Yes/No/NA</w:t>
            </w:r>
          </w:p>
          <w:p w14:paraId="267CD846" w14:textId="77777777" w:rsidR="00A66F4B" w:rsidRPr="001235F1" w:rsidRDefault="00A66F4B" w:rsidP="008F29A3">
            <w:pPr>
              <w:cnfStyle w:val="100000000000" w:firstRow="1" w:lastRow="0" w:firstColumn="0" w:lastColumn="0" w:oddVBand="0" w:evenVBand="0" w:oddHBand="0" w:evenHBand="0" w:firstRowFirstColumn="0" w:firstRowLastColumn="0" w:lastRowFirstColumn="0" w:lastRowLastColumn="0"/>
              <w:rPr>
                <w:rFonts w:ascii="Times" w:hAnsi="Times" w:cs="Arial"/>
                <w:sz w:val="12"/>
                <w:szCs w:val="12"/>
              </w:rPr>
            </w:pPr>
          </w:p>
        </w:tc>
        <w:tc>
          <w:tcPr>
            <w:tcW w:w="3328" w:type="dxa"/>
            <w:shd w:val="clear" w:color="auto" w:fill="002B5C"/>
          </w:tcPr>
          <w:p w14:paraId="1E81C23C" w14:textId="77777777" w:rsidR="00A66F4B" w:rsidRDefault="00A66F4B" w:rsidP="008F29A3">
            <w:pPr>
              <w:cnfStyle w:val="100000000000" w:firstRow="1" w:lastRow="0" w:firstColumn="0" w:lastColumn="0" w:oddVBand="0" w:evenVBand="0" w:oddHBand="0" w:evenHBand="0" w:firstRowFirstColumn="0" w:firstRowLastColumn="0" w:lastRowFirstColumn="0" w:lastRowLastColumn="0"/>
              <w:rPr>
                <w:rFonts w:ascii="Times" w:hAnsi="Times" w:cs="Arial"/>
              </w:rPr>
            </w:pPr>
            <w:r w:rsidRPr="001235F1">
              <w:rPr>
                <w:rFonts w:ascii="Times" w:hAnsi="Times" w:cs="Arial"/>
              </w:rPr>
              <w:t xml:space="preserve">Details / Explanation </w:t>
            </w:r>
            <w:r>
              <w:rPr>
                <w:rFonts w:ascii="Times" w:hAnsi="Times" w:cs="Arial"/>
              </w:rPr>
              <w:t xml:space="preserve"> </w:t>
            </w:r>
          </w:p>
          <w:p w14:paraId="7305323D" w14:textId="77777777" w:rsidR="00A66F4B" w:rsidRPr="003B5E88" w:rsidRDefault="00A66F4B" w:rsidP="00A66F4B">
            <w:pPr>
              <w:pStyle w:val="ListParagraph"/>
              <w:numPr>
                <w:ilvl w:val="0"/>
                <w:numId w:val="2"/>
              </w:numPr>
              <w:cnfStyle w:val="100000000000" w:firstRow="1" w:lastRow="0" w:firstColumn="0" w:lastColumn="0" w:oddVBand="0" w:evenVBand="0" w:oddHBand="0" w:evenHBand="0" w:firstRowFirstColumn="0" w:firstRowLastColumn="0" w:lastRowFirstColumn="0" w:lastRowLastColumn="0"/>
              <w:rPr>
                <w:rFonts w:ascii="Times" w:hAnsi="Times" w:cs="Arial"/>
              </w:rPr>
            </w:pPr>
            <w:r w:rsidRPr="003B5E88">
              <w:rPr>
                <w:rFonts w:ascii="Times" w:hAnsi="Times" w:cs="Arial"/>
              </w:rPr>
              <w:t xml:space="preserve">Explanation is mandatory, </w:t>
            </w:r>
          </w:p>
          <w:p w14:paraId="29654213" w14:textId="77777777" w:rsidR="00A66F4B" w:rsidRPr="003B5E88" w:rsidRDefault="00A66F4B" w:rsidP="00A66F4B">
            <w:pPr>
              <w:pStyle w:val="ListParagraph"/>
              <w:numPr>
                <w:ilvl w:val="0"/>
                <w:numId w:val="2"/>
              </w:numPr>
              <w:cnfStyle w:val="100000000000" w:firstRow="1" w:lastRow="0" w:firstColumn="0" w:lastColumn="0" w:oddVBand="0" w:evenVBand="0" w:oddHBand="0" w:evenHBand="0" w:firstRowFirstColumn="0" w:firstRowLastColumn="0" w:lastRowFirstColumn="0" w:lastRowLastColumn="0"/>
              <w:rPr>
                <w:rFonts w:ascii="Times" w:hAnsi="Times" w:cs="Arial"/>
              </w:rPr>
            </w:pPr>
            <w:r w:rsidRPr="003B5E88">
              <w:rPr>
                <w:rFonts w:ascii="Times" w:hAnsi="Times" w:cs="Arial"/>
              </w:rPr>
              <w:t>A maximum of 200 words per explanation is allowed</w:t>
            </w:r>
          </w:p>
          <w:p w14:paraId="2CA4ACBE" w14:textId="77777777" w:rsidR="00A66F4B" w:rsidRPr="001D34A7" w:rsidRDefault="00A66F4B" w:rsidP="00A66F4B">
            <w:pPr>
              <w:pStyle w:val="ListParagraph"/>
              <w:numPr>
                <w:ilvl w:val="0"/>
                <w:numId w:val="2"/>
              </w:numPr>
              <w:cnfStyle w:val="100000000000" w:firstRow="1" w:lastRow="0" w:firstColumn="0" w:lastColumn="0" w:oddVBand="0" w:evenVBand="0" w:oddHBand="0" w:evenHBand="0" w:firstRowFirstColumn="0" w:firstRowLastColumn="0" w:lastRowFirstColumn="0" w:lastRowLastColumn="0"/>
              <w:rPr>
                <w:rFonts w:ascii="Times" w:hAnsi="Times" w:cs="Arial"/>
              </w:rPr>
            </w:pPr>
            <w:r w:rsidRPr="003B5E88">
              <w:rPr>
                <w:rFonts w:ascii="Times" w:hAnsi="Times" w:cs="Arial"/>
              </w:rPr>
              <w:t>Screenshots are allowed</w:t>
            </w:r>
          </w:p>
        </w:tc>
      </w:tr>
      <w:bookmarkEnd w:id="1"/>
      <w:tr w:rsidR="00A66F4B" w:rsidRPr="0038430C" w14:paraId="47CF68E7" w14:textId="77777777" w:rsidTr="008F29A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none" w:sz="0" w:space="0" w:color="auto"/>
            </w:tcBorders>
            <w:hideMark/>
          </w:tcPr>
          <w:p w14:paraId="0E6A740F" w14:textId="77777777" w:rsidR="00A66F4B" w:rsidRPr="001235F1" w:rsidRDefault="00A66F4B" w:rsidP="008F29A3">
            <w:pPr>
              <w:rPr>
                <w:rFonts w:ascii="Times" w:hAnsi="Times" w:cs="Arial"/>
                <w:b w:val="0"/>
                <w:color w:val="000000"/>
              </w:rPr>
            </w:pPr>
            <w:r w:rsidRPr="00273725">
              <w:rPr>
                <w:rFonts w:ascii="Times" w:hAnsi="Times" w:cs="Arial"/>
                <w:b w:val="0"/>
                <w:color w:val="000000"/>
              </w:rPr>
              <w:t xml:space="preserve">There </w:t>
            </w:r>
            <w:r w:rsidRPr="001235F1">
              <w:rPr>
                <w:rFonts w:ascii="Times" w:hAnsi="Times" w:cs="Arial"/>
                <w:b w:val="0"/>
                <w:color w:val="000000"/>
              </w:rPr>
              <w:t>are measures applied to prevent the threat of information disclosure to unauthorized parties.</w:t>
            </w:r>
          </w:p>
        </w:tc>
        <w:tc>
          <w:tcPr>
            <w:tcW w:w="1701" w:type="dxa"/>
            <w:tcBorders>
              <w:top w:val="none" w:sz="0" w:space="0" w:color="auto"/>
              <w:bottom w:val="none" w:sz="0" w:space="0" w:color="auto"/>
            </w:tcBorders>
          </w:tcPr>
          <w:p w14:paraId="24F30B50"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c>
          <w:tcPr>
            <w:tcW w:w="3328" w:type="dxa"/>
            <w:tcBorders>
              <w:top w:val="none" w:sz="0" w:space="0" w:color="auto"/>
              <w:bottom w:val="none" w:sz="0" w:space="0" w:color="auto"/>
              <w:right w:val="none" w:sz="0" w:space="0" w:color="auto"/>
            </w:tcBorders>
          </w:tcPr>
          <w:p w14:paraId="1B05C7D1"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r>
      <w:tr w:rsidR="00A66F4B" w:rsidRPr="0038430C" w14:paraId="09C17D74" w14:textId="77777777" w:rsidTr="008F29A3">
        <w:trPr>
          <w:trHeight w:val="282"/>
        </w:trPr>
        <w:tc>
          <w:tcPr>
            <w:cnfStyle w:val="001000000000" w:firstRow="0" w:lastRow="0" w:firstColumn="1" w:lastColumn="0" w:oddVBand="0" w:evenVBand="0" w:oddHBand="0" w:evenHBand="0" w:firstRowFirstColumn="0" w:firstRowLastColumn="0" w:lastRowFirstColumn="0" w:lastRowLastColumn="0"/>
            <w:tcW w:w="4815" w:type="dxa"/>
            <w:hideMark/>
          </w:tcPr>
          <w:p w14:paraId="7AF846CC" w14:textId="77777777" w:rsidR="00A66F4B" w:rsidRPr="001235F1" w:rsidRDefault="00A66F4B" w:rsidP="008F29A3">
            <w:pPr>
              <w:rPr>
                <w:rFonts w:ascii="Times" w:hAnsi="Times" w:cs="Arial"/>
                <w:b w:val="0"/>
                <w:color w:val="000000"/>
              </w:rPr>
            </w:pPr>
            <w:r w:rsidRPr="001235F1">
              <w:rPr>
                <w:rFonts w:ascii="Times" w:hAnsi="Times" w:cs="Arial"/>
                <w:b w:val="0"/>
                <w:color w:val="000000"/>
              </w:rPr>
              <w:t>Direct connections with local hardware during remote sessions is not allowed e.g. no use of usb ports during remote sessions</w:t>
            </w:r>
          </w:p>
        </w:tc>
        <w:tc>
          <w:tcPr>
            <w:tcW w:w="1701" w:type="dxa"/>
          </w:tcPr>
          <w:p w14:paraId="21C0FAFE"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c>
          <w:tcPr>
            <w:tcW w:w="3328" w:type="dxa"/>
          </w:tcPr>
          <w:p w14:paraId="0369B7EC"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r>
      <w:tr w:rsidR="00A66F4B" w:rsidRPr="0038430C" w14:paraId="0EBBC518" w14:textId="77777777" w:rsidTr="008F29A3">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none" w:sz="0" w:space="0" w:color="auto"/>
            </w:tcBorders>
            <w:hideMark/>
          </w:tcPr>
          <w:p w14:paraId="5EF67EC4" w14:textId="77777777" w:rsidR="00A66F4B" w:rsidRPr="001D34A7" w:rsidRDefault="00A66F4B" w:rsidP="008F29A3">
            <w:pPr>
              <w:rPr>
                <w:rFonts w:ascii="Times" w:hAnsi="Times" w:cs="Arial"/>
                <w:b w:val="0"/>
                <w:color w:val="000000"/>
              </w:rPr>
            </w:pPr>
            <w:r w:rsidRPr="001D34A7">
              <w:rPr>
                <w:rFonts w:ascii="Times" w:hAnsi="Times" w:cs="Arial"/>
                <w:b w:val="0"/>
              </w:rPr>
              <w:t xml:space="preserve">There are measures in place to mitigate the threat of a hacker or malware. The </w:t>
            </w:r>
            <w:r>
              <w:rPr>
                <w:rFonts w:ascii="Times" w:hAnsi="Times" w:cs="Arial"/>
                <w:b w:val="0"/>
              </w:rPr>
              <w:t>Tender</w:t>
            </w:r>
            <w:r w:rsidRPr="001D34A7">
              <w:rPr>
                <w:rFonts w:ascii="Times" w:hAnsi="Times" w:cs="Arial"/>
                <w:b w:val="0"/>
              </w:rPr>
              <w:t xml:space="preserve"> provides upon request a copy of the maintenance and/or licensing agreements with suppliers concerning Antivirus, Firewall, IDS, IPS, Encryption software</w:t>
            </w:r>
          </w:p>
        </w:tc>
        <w:tc>
          <w:tcPr>
            <w:tcW w:w="1701" w:type="dxa"/>
            <w:tcBorders>
              <w:top w:val="none" w:sz="0" w:space="0" w:color="auto"/>
              <w:bottom w:val="none" w:sz="0" w:space="0" w:color="auto"/>
            </w:tcBorders>
          </w:tcPr>
          <w:p w14:paraId="316A04D0"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c>
          <w:tcPr>
            <w:tcW w:w="3328" w:type="dxa"/>
            <w:tcBorders>
              <w:top w:val="none" w:sz="0" w:space="0" w:color="auto"/>
              <w:bottom w:val="none" w:sz="0" w:space="0" w:color="auto"/>
              <w:right w:val="none" w:sz="0" w:space="0" w:color="auto"/>
            </w:tcBorders>
          </w:tcPr>
          <w:p w14:paraId="4B4770B6"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r>
      <w:tr w:rsidR="00A66F4B" w:rsidRPr="0038430C" w14:paraId="685AAC36" w14:textId="77777777" w:rsidTr="008F29A3">
        <w:trPr>
          <w:trHeight w:val="282"/>
        </w:trPr>
        <w:tc>
          <w:tcPr>
            <w:cnfStyle w:val="001000000000" w:firstRow="0" w:lastRow="0" w:firstColumn="1" w:lastColumn="0" w:oddVBand="0" w:evenVBand="0" w:oddHBand="0" w:evenHBand="0" w:firstRowFirstColumn="0" w:firstRowLastColumn="0" w:lastRowFirstColumn="0" w:lastRowLastColumn="0"/>
            <w:tcW w:w="4815" w:type="dxa"/>
            <w:hideMark/>
          </w:tcPr>
          <w:p w14:paraId="5484EE6D" w14:textId="77777777" w:rsidR="00A66F4B" w:rsidRPr="001235F1" w:rsidRDefault="00A66F4B" w:rsidP="008F29A3">
            <w:pPr>
              <w:rPr>
                <w:rFonts w:ascii="Times" w:hAnsi="Times" w:cs="Arial"/>
                <w:b w:val="0"/>
                <w:color w:val="000000"/>
              </w:rPr>
            </w:pPr>
            <w:r w:rsidRPr="001235F1">
              <w:rPr>
                <w:rFonts w:ascii="Times" w:hAnsi="Times" w:cs="Arial"/>
                <w:b w:val="0"/>
                <w:color w:val="000000"/>
              </w:rPr>
              <w:t xml:space="preserve">Tenderer </w:t>
            </w:r>
            <w:r>
              <w:rPr>
                <w:rFonts w:ascii="Times" w:hAnsi="Times" w:cs="Arial"/>
                <w:b w:val="0"/>
                <w:color w:val="000000"/>
              </w:rPr>
              <w:t>will</w:t>
            </w:r>
            <w:r w:rsidRPr="001235F1">
              <w:rPr>
                <w:rFonts w:ascii="Times" w:hAnsi="Times" w:cs="Arial"/>
                <w:b w:val="0"/>
                <w:color w:val="000000"/>
              </w:rPr>
              <w:t xml:space="preserve"> provide periodically an overview of the license-compliancy for the environments that are used by FMO.</w:t>
            </w:r>
          </w:p>
        </w:tc>
        <w:tc>
          <w:tcPr>
            <w:tcW w:w="1701" w:type="dxa"/>
          </w:tcPr>
          <w:p w14:paraId="0ABBBB18"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c>
          <w:tcPr>
            <w:tcW w:w="3328" w:type="dxa"/>
          </w:tcPr>
          <w:p w14:paraId="5F0545FC"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r>
      <w:tr w:rsidR="00A66F4B" w:rsidRPr="0038430C" w14:paraId="542E1CD2" w14:textId="77777777" w:rsidTr="008F29A3">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none" w:sz="0" w:space="0" w:color="auto"/>
            </w:tcBorders>
            <w:hideMark/>
          </w:tcPr>
          <w:p w14:paraId="798D8162" w14:textId="77777777" w:rsidR="00A66F4B" w:rsidRPr="001235F1" w:rsidRDefault="00A66F4B" w:rsidP="008F29A3">
            <w:pPr>
              <w:rPr>
                <w:rFonts w:ascii="Times" w:hAnsi="Times" w:cs="Arial"/>
                <w:b w:val="0"/>
                <w:color w:val="000000"/>
              </w:rPr>
            </w:pPr>
            <w:r w:rsidRPr="001235F1">
              <w:rPr>
                <w:rFonts w:ascii="Times" w:hAnsi="Times" w:cs="Arial"/>
                <w:b w:val="0"/>
                <w:color w:val="000000"/>
              </w:rPr>
              <w:t xml:space="preserve">The </w:t>
            </w:r>
            <w:r>
              <w:rPr>
                <w:rFonts w:ascii="Times" w:hAnsi="Times" w:cs="Arial"/>
                <w:b w:val="0"/>
                <w:color w:val="000000"/>
              </w:rPr>
              <w:t>Tender</w:t>
            </w:r>
            <w:r w:rsidRPr="001235F1">
              <w:rPr>
                <w:rFonts w:ascii="Times" w:hAnsi="Times" w:cs="Arial"/>
                <w:b w:val="0"/>
                <w:color w:val="000000"/>
              </w:rPr>
              <w:t xml:space="preserve"> </w:t>
            </w:r>
            <w:r>
              <w:rPr>
                <w:rFonts w:ascii="Times" w:hAnsi="Times" w:cs="Arial"/>
                <w:b w:val="0"/>
                <w:color w:val="000000"/>
              </w:rPr>
              <w:t>will</w:t>
            </w:r>
            <w:r w:rsidRPr="001235F1">
              <w:rPr>
                <w:rFonts w:ascii="Times" w:hAnsi="Times" w:cs="Arial"/>
                <w:b w:val="0"/>
                <w:color w:val="000000"/>
              </w:rPr>
              <w:t xml:space="preserve"> provide upon request information about process hardening (for example disabling unused services, etc.) so that all ICT-components are hardened against attacks.</w:t>
            </w:r>
          </w:p>
        </w:tc>
        <w:tc>
          <w:tcPr>
            <w:tcW w:w="1701" w:type="dxa"/>
            <w:tcBorders>
              <w:top w:val="none" w:sz="0" w:space="0" w:color="auto"/>
              <w:bottom w:val="none" w:sz="0" w:space="0" w:color="auto"/>
            </w:tcBorders>
          </w:tcPr>
          <w:p w14:paraId="44A990C6"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c>
          <w:tcPr>
            <w:tcW w:w="3328" w:type="dxa"/>
            <w:tcBorders>
              <w:top w:val="none" w:sz="0" w:space="0" w:color="auto"/>
              <w:bottom w:val="none" w:sz="0" w:space="0" w:color="auto"/>
              <w:right w:val="none" w:sz="0" w:space="0" w:color="auto"/>
            </w:tcBorders>
          </w:tcPr>
          <w:p w14:paraId="3823E5A8"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r>
      <w:tr w:rsidR="00A66F4B" w:rsidRPr="0038430C" w14:paraId="6D1AF08C" w14:textId="77777777" w:rsidTr="008F29A3">
        <w:trPr>
          <w:trHeight w:val="565"/>
        </w:trPr>
        <w:tc>
          <w:tcPr>
            <w:cnfStyle w:val="001000000000" w:firstRow="0" w:lastRow="0" w:firstColumn="1" w:lastColumn="0" w:oddVBand="0" w:evenVBand="0" w:oddHBand="0" w:evenHBand="0" w:firstRowFirstColumn="0" w:firstRowLastColumn="0" w:lastRowFirstColumn="0" w:lastRowLastColumn="0"/>
            <w:tcW w:w="4815" w:type="dxa"/>
            <w:hideMark/>
          </w:tcPr>
          <w:p w14:paraId="08148660" w14:textId="77777777" w:rsidR="00A66F4B" w:rsidRPr="001235F1" w:rsidRDefault="00A66F4B" w:rsidP="008F29A3">
            <w:pPr>
              <w:rPr>
                <w:rFonts w:ascii="Times" w:hAnsi="Times" w:cs="Arial"/>
                <w:b w:val="0"/>
                <w:color w:val="000000"/>
              </w:rPr>
            </w:pPr>
            <w:r w:rsidRPr="001235F1">
              <w:rPr>
                <w:rFonts w:ascii="Times" w:hAnsi="Times" w:cs="Arial"/>
                <w:b w:val="0"/>
                <w:color w:val="000000"/>
              </w:rPr>
              <w:t xml:space="preserve">The </w:t>
            </w:r>
            <w:r>
              <w:rPr>
                <w:rFonts w:ascii="Times" w:hAnsi="Times" w:cs="Arial"/>
                <w:b w:val="0"/>
                <w:color w:val="000000"/>
              </w:rPr>
              <w:t>Tender</w:t>
            </w:r>
            <w:r w:rsidRPr="001235F1">
              <w:rPr>
                <w:rFonts w:ascii="Times" w:hAnsi="Times" w:cs="Arial"/>
                <w:b w:val="0"/>
                <w:color w:val="000000"/>
              </w:rPr>
              <w:t xml:space="preserve"> shall apply up-to-date e-mail (and DNS) security measures, like specified by IBD and NCSC. Standards are amongst others (but not limited to) TLS, DKIM, DMARC, DANE, DNSSEC</w:t>
            </w:r>
          </w:p>
        </w:tc>
        <w:tc>
          <w:tcPr>
            <w:tcW w:w="1701" w:type="dxa"/>
          </w:tcPr>
          <w:p w14:paraId="1673BB70"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c>
          <w:tcPr>
            <w:tcW w:w="3328" w:type="dxa"/>
          </w:tcPr>
          <w:p w14:paraId="70EA71C1"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r>
      <w:tr w:rsidR="00A66F4B" w:rsidRPr="0038430C" w14:paraId="65A60CF3" w14:textId="77777777" w:rsidTr="008F29A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none" w:sz="0" w:space="0" w:color="auto"/>
            </w:tcBorders>
            <w:hideMark/>
          </w:tcPr>
          <w:p w14:paraId="3D8B1961" w14:textId="77777777" w:rsidR="00A66F4B" w:rsidRPr="001235F1" w:rsidRDefault="00A66F4B" w:rsidP="008F29A3">
            <w:pPr>
              <w:rPr>
                <w:rFonts w:ascii="Times" w:hAnsi="Times" w:cs="Arial"/>
                <w:b w:val="0"/>
                <w:color w:val="000000"/>
              </w:rPr>
            </w:pPr>
            <w:r w:rsidRPr="001235F1">
              <w:rPr>
                <w:rFonts w:ascii="Times" w:hAnsi="Times" w:cs="Arial"/>
                <w:b w:val="0"/>
                <w:color w:val="000000"/>
              </w:rPr>
              <w:t xml:space="preserve">The </w:t>
            </w:r>
            <w:r>
              <w:rPr>
                <w:rFonts w:ascii="Times" w:hAnsi="Times" w:cs="Arial"/>
                <w:b w:val="0"/>
                <w:color w:val="000000"/>
              </w:rPr>
              <w:t>Tender</w:t>
            </w:r>
            <w:r w:rsidRPr="001235F1">
              <w:rPr>
                <w:rFonts w:ascii="Times" w:hAnsi="Times" w:cs="Arial"/>
                <w:b w:val="0"/>
                <w:color w:val="000000"/>
              </w:rPr>
              <w:t xml:space="preserve"> has demonstrable measures in place to minimize the chance of interception of data in transit by unauthorized parties.</w:t>
            </w:r>
          </w:p>
        </w:tc>
        <w:tc>
          <w:tcPr>
            <w:tcW w:w="1701" w:type="dxa"/>
            <w:tcBorders>
              <w:top w:val="none" w:sz="0" w:space="0" w:color="auto"/>
              <w:bottom w:val="none" w:sz="0" w:space="0" w:color="auto"/>
            </w:tcBorders>
          </w:tcPr>
          <w:p w14:paraId="1C597515"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c>
          <w:tcPr>
            <w:tcW w:w="3328" w:type="dxa"/>
            <w:tcBorders>
              <w:top w:val="none" w:sz="0" w:space="0" w:color="auto"/>
              <w:bottom w:val="none" w:sz="0" w:space="0" w:color="auto"/>
              <w:right w:val="none" w:sz="0" w:space="0" w:color="auto"/>
            </w:tcBorders>
          </w:tcPr>
          <w:p w14:paraId="2EED6E1D"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r>
      <w:tr w:rsidR="00A66F4B" w:rsidRPr="0038430C" w14:paraId="3945FC05" w14:textId="77777777" w:rsidTr="008F29A3">
        <w:trPr>
          <w:trHeight w:val="565"/>
        </w:trPr>
        <w:tc>
          <w:tcPr>
            <w:cnfStyle w:val="001000000000" w:firstRow="0" w:lastRow="0" w:firstColumn="1" w:lastColumn="0" w:oddVBand="0" w:evenVBand="0" w:oddHBand="0" w:evenHBand="0" w:firstRowFirstColumn="0" w:firstRowLastColumn="0" w:lastRowFirstColumn="0" w:lastRowLastColumn="0"/>
            <w:tcW w:w="4815" w:type="dxa"/>
            <w:hideMark/>
          </w:tcPr>
          <w:p w14:paraId="2E4BABE2" w14:textId="77777777" w:rsidR="00A66F4B" w:rsidRPr="001235F1" w:rsidRDefault="00A66F4B" w:rsidP="008F29A3">
            <w:pPr>
              <w:rPr>
                <w:rFonts w:ascii="Times" w:hAnsi="Times" w:cs="Arial"/>
                <w:b w:val="0"/>
                <w:color w:val="000000"/>
              </w:rPr>
            </w:pPr>
            <w:r w:rsidRPr="001235F1">
              <w:rPr>
                <w:rFonts w:ascii="Times" w:hAnsi="Times" w:cs="Arial"/>
                <w:b w:val="0"/>
                <w:color w:val="000000"/>
              </w:rPr>
              <w:t>SSL2/SSL3 security protocols are not allowed (also not from IBD), the current demand is in the direction of TLS (1.0/1.1/1.2 and later) security protocols. Currently TLS 1.0 is sufficient.</w:t>
            </w:r>
          </w:p>
        </w:tc>
        <w:tc>
          <w:tcPr>
            <w:tcW w:w="1701" w:type="dxa"/>
          </w:tcPr>
          <w:p w14:paraId="280DBC45"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c>
          <w:tcPr>
            <w:tcW w:w="3328" w:type="dxa"/>
          </w:tcPr>
          <w:p w14:paraId="31FC5B44"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r>
      <w:tr w:rsidR="00A66F4B" w:rsidRPr="0038430C" w14:paraId="622A9ECB" w14:textId="77777777" w:rsidTr="008F29A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none" w:sz="0" w:space="0" w:color="auto"/>
            </w:tcBorders>
            <w:hideMark/>
          </w:tcPr>
          <w:p w14:paraId="4CE22E1F" w14:textId="77777777" w:rsidR="00A66F4B" w:rsidRPr="001235F1" w:rsidRDefault="00A66F4B" w:rsidP="008F29A3">
            <w:pPr>
              <w:rPr>
                <w:rFonts w:ascii="Times" w:hAnsi="Times" w:cs="Arial"/>
                <w:b w:val="0"/>
                <w:color w:val="000000"/>
              </w:rPr>
            </w:pPr>
            <w:r w:rsidRPr="001235F1">
              <w:rPr>
                <w:rFonts w:ascii="Times" w:hAnsi="Times" w:cs="Arial"/>
                <w:b w:val="0"/>
                <w:color w:val="000000"/>
              </w:rPr>
              <w:t>When FMO finds it necessary the use of certificates shall be supported</w:t>
            </w:r>
          </w:p>
        </w:tc>
        <w:tc>
          <w:tcPr>
            <w:tcW w:w="1701" w:type="dxa"/>
            <w:tcBorders>
              <w:top w:val="none" w:sz="0" w:space="0" w:color="auto"/>
              <w:bottom w:val="none" w:sz="0" w:space="0" w:color="auto"/>
            </w:tcBorders>
          </w:tcPr>
          <w:p w14:paraId="1C104117"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c>
          <w:tcPr>
            <w:tcW w:w="3328" w:type="dxa"/>
            <w:tcBorders>
              <w:top w:val="none" w:sz="0" w:space="0" w:color="auto"/>
              <w:bottom w:val="none" w:sz="0" w:space="0" w:color="auto"/>
              <w:right w:val="none" w:sz="0" w:space="0" w:color="auto"/>
            </w:tcBorders>
          </w:tcPr>
          <w:p w14:paraId="369DE36D"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r>
      <w:tr w:rsidR="00A66F4B" w:rsidRPr="0038430C" w14:paraId="5007707F" w14:textId="77777777" w:rsidTr="008F29A3">
        <w:trPr>
          <w:trHeight w:val="282"/>
        </w:trPr>
        <w:tc>
          <w:tcPr>
            <w:cnfStyle w:val="001000000000" w:firstRow="0" w:lastRow="0" w:firstColumn="1" w:lastColumn="0" w:oddVBand="0" w:evenVBand="0" w:oddHBand="0" w:evenHBand="0" w:firstRowFirstColumn="0" w:firstRowLastColumn="0" w:lastRowFirstColumn="0" w:lastRowLastColumn="0"/>
            <w:tcW w:w="4815" w:type="dxa"/>
            <w:hideMark/>
          </w:tcPr>
          <w:p w14:paraId="181AB58E" w14:textId="77777777" w:rsidR="00A66F4B" w:rsidRPr="001235F1" w:rsidRDefault="00A66F4B" w:rsidP="008F29A3">
            <w:pPr>
              <w:rPr>
                <w:rFonts w:ascii="Times" w:hAnsi="Times" w:cs="Arial"/>
                <w:b w:val="0"/>
                <w:color w:val="000000" w:themeColor="text1"/>
              </w:rPr>
            </w:pPr>
            <w:r w:rsidRPr="001235F1">
              <w:rPr>
                <w:rFonts w:ascii="Times" w:hAnsi="Times" w:cs="Arial"/>
                <w:b w:val="0"/>
                <w:color w:val="000000" w:themeColor="text1"/>
              </w:rPr>
              <w:t>The applications and data of FMO shall at all times be separated of the applications and data of other parties.</w:t>
            </w:r>
          </w:p>
        </w:tc>
        <w:tc>
          <w:tcPr>
            <w:tcW w:w="1701" w:type="dxa"/>
          </w:tcPr>
          <w:p w14:paraId="53B3B9F6"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c>
          <w:tcPr>
            <w:tcW w:w="3328" w:type="dxa"/>
          </w:tcPr>
          <w:p w14:paraId="30F2071B"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r>
      <w:tr w:rsidR="00A66F4B" w:rsidRPr="0038430C" w14:paraId="5F38617B" w14:textId="77777777" w:rsidTr="008F29A3">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none" w:sz="0" w:space="0" w:color="auto"/>
            </w:tcBorders>
            <w:hideMark/>
          </w:tcPr>
          <w:p w14:paraId="4873A23C" w14:textId="77777777" w:rsidR="00A66F4B" w:rsidRPr="001235F1" w:rsidRDefault="00A66F4B" w:rsidP="008F29A3">
            <w:pPr>
              <w:rPr>
                <w:rFonts w:ascii="Times" w:hAnsi="Times" w:cs="Arial"/>
                <w:b w:val="0"/>
                <w:color w:val="000000" w:themeColor="text1"/>
              </w:rPr>
            </w:pPr>
            <w:r w:rsidRPr="001235F1">
              <w:rPr>
                <w:rFonts w:ascii="Times" w:hAnsi="Times" w:cs="Arial"/>
                <w:b w:val="0"/>
                <w:color w:val="000000" w:themeColor="text1"/>
              </w:rPr>
              <w:lastRenderedPageBreak/>
              <w:t>Prior to implementation the requirements concerning confidentiality, integrity and availability (CIA) need to be adapted between FMO and supplier. In this way appropriate controls and service levels can be established and maintained.</w:t>
            </w:r>
          </w:p>
        </w:tc>
        <w:tc>
          <w:tcPr>
            <w:tcW w:w="1701" w:type="dxa"/>
            <w:tcBorders>
              <w:top w:val="none" w:sz="0" w:space="0" w:color="auto"/>
              <w:bottom w:val="none" w:sz="0" w:space="0" w:color="auto"/>
            </w:tcBorders>
          </w:tcPr>
          <w:p w14:paraId="1723B96E"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c>
          <w:tcPr>
            <w:tcW w:w="3328" w:type="dxa"/>
            <w:tcBorders>
              <w:top w:val="none" w:sz="0" w:space="0" w:color="auto"/>
              <w:bottom w:val="none" w:sz="0" w:space="0" w:color="auto"/>
              <w:right w:val="none" w:sz="0" w:space="0" w:color="auto"/>
            </w:tcBorders>
          </w:tcPr>
          <w:p w14:paraId="508D7E70"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r>
      <w:tr w:rsidR="00A66F4B" w:rsidRPr="0038430C" w14:paraId="1CC0E13B" w14:textId="77777777" w:rsidTr="008F29A3">
        <w:trPr>
          <w:trHeight w:val="1131"/>
        </w:trPr>
        <w:tc>
          <w:tcPr>
            <w:cnfStyle w:val="001000000000" w:firstRow="0" w:lastRow="0" w:firstColumn="1" w:lastColumn="0" w:oddVBand="0" w:evenVBand="0" w:oddHBand="0" w:evenHBand="0" w:firstRowFirstColumn="0" w:firstRowLastColumn="0" w:lastRowFirstColumn="0" w:lastRowLastColumn="0"/>
            <w:tcW w:w="4815" w:type="dxa"/>
            <w:hideMark/>
          </w:tcPr>
          <w:p w14:paraId="1100A0E0" w14:textId="77777777" w:rsidR="00A66F4B" w:rsidRPr="001235F1" w:rsidRDefault="00A66F4B" w:rsidP="008F29A3">
            <w:pPr>
              <w:rPr>
                <w:rFonts w:ascii="Times" w:hAnsi="Times" w:cs="Arial"/>
                <w:b w:val="0"/>
                <w:color w:val="000000"/>
              </w:rPr>
            </w:pPr>
            <w:r w:rsidRPr="001235F1">
              <w:rPr>
                <w:rFonts w:ascii="Times" w:hAnsi="Times" w:cs="Arial"/>
                <w:b w:val="0"/>
                <w:color w:val="000000"/>
              </w:rPr>
              <w:t xml:space="preserve">Tenderer has demonstrable operational controls to tackle the risk of theft or loss of data. Tenderer shall provide upon request a description of active controls for access management (e.g. who has physical access to servers/applications/data, which access controls are in place, is there monitoring and alerting) and possible fire prevention for the IT systems used in the execution of this task. Tenderer shall provide upon request a description of the back-up procedure wherein is clear that data loss can amount to maximum one working day. </w:t>
            </w:r>
          </w:p>
        </w:tc>
        <w:tc>
          <w:tcPr>
            <w:tcW w:w="1701" w:type="dxa"/>
          </w:tcPr>
          <w:p w14:paraId="60286825"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c>
          <w:tcPr>
            <w:tcW w:w="3328" w:type="dxa"/>
          </w:tcPr>
          <w:p w14:paraId="09304B2E"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r>
      <w:tr w:rsidR="00A66F4B" w:rsidRPr="0038430C" w14:paraId="2689087C" w14:textId="77777777" w:rsidTr="008F29A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none" w:sz="0" w:space="0" w:color="auto"/>
            </w:tcBorders>
            <w:hideMark/>
          </w:tcPr>
          <w:p w14:paraId="2E8D4CC8" w14:textId="77777777" w:rsidR="00A66F4B" w:rsidRPr="001235F1" w:rsidRDefault="00A66F4B" w:rsidP="008F29A3">
            <w:pPr>
              <w:rPr>
                <w:rFonts w:ascii="Times" w:hAnsi="Times" w:cs="Arial"/>
                <w:b w:val="0"/>
                <w:color w:val="000000"/>
              </w:rPr>
            </w:pPr>
            <w:r w:rsidRPr="001235F1">
              <w:rPr>
                <w:rFonts w:ascii="Times" w:hAnsi="Times" w:cs="Arial"/>
                <w:b w:val="0"/>
                <w:color w:val="000000"/>
              </w:rPr>
              <w:t xml:space="preserve">If there is personal data involved in using cloud services, the </w:t>
            </w:r>
            <w:r>
              <w:rPr>
                <w:rFonts w:ascii="Times" w:hAnsi="Times" w:cs="Arial"/>
                <w:b w:val="0"/>
                <w:color w:val="000000"/>
              </w:rPr>
              <w:t>Tender</w:t>
            </w:r>
            <w:r w:rsidRPr="001235F1">
              <w:rPr>
                <w:rFonts w:ascii="Times" w:hAnsi="Times" w:cs="Arial"/>
                <w:b w:val="0"/>
                <w:color w:val="000000"/>
              </w:rPr>
              <w:t xml:space="preserve"> shall comply with GDPR.</w:t>
            </w:r>
          </w:p>
        </w:tc>
        <w:tc>
          <w:tcPr>
            <w:tcW w:w="1701" w:type="dxa"/>
            <w:tcBorders>
              <w:top w:val="none" w:sz="0" w:space="0" w:color="auto"/>
              <w:bottom w:val="none" w:sz="0" w:space="0" w:color="auto"/>
            </w:tcBorders>
          </w:tcPr>
          <w:p w14:paraId="7DC75EE8"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c>
          <w:tcPr>
            <w:tcW w:w="3328" w:type="dxa"/>
            <w:tcBorders>
              <w:top w:val="none" w:sz="0" w:space="0" w:color="auto"/>
              <w:bottom w:val="none" w:sz="0" w:space="0" w:color="auto"/>
              <w:right w:val="none" w:sz="0" w:space="0" w:color="auto"/>
            </w:tcBorders>
          </w:tcPr>
          <w:p w14:paraId="6490EAB5"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r>
      <w:tr w:rsidR="00A66F4B" w:rsidRPr="0038430C" w14:paraId="26777135" w14:textId="77777777" w:rsidTr="008F29A3">
        <w:trPr>
          <w:trHeight w:val="565"/>
        </w:trPr>
        <w:tc>
          <w:tcPr>
            <w:cnfStyle w:val="001000000000" w:firstRow="0" w:lastRow="0" w:firstColumn="1" w:lastColumn="0" w:oddVBand="0" w:evenVBand="0" w:oddHBand="0" w:evenHBand="0" w:firstRowFirstColumn="0" w:firstRowLastColumn="0" w:lastRowFirstColumn="0" w:lastRowLastColumn="0"/>
            <w:tcW w:w="4815" w:type="dxa"/>
            <w:hideMark/>
          </w:tcPr>
          <w:p w14:paraId="721731A5" w14:textId="77777777" w:rsidR="00A66F4B" w:rsidRPr="00974334" w:rsidRDefault="00A66F4B" w:rsidP="008F29A3">
            <w:pPr>
              <w:rPr>
                <w:rFonts w:ascii="Times" w:hAnsi="Times" w:cs="Arial"/>
                <w:b w:val="0"/>
                <w:color w:val="000000"/>
              </w:rPr>
            </w:pPr>
            <w:r w:rsidRPr="00974334">
              <w:rPr>
                <w:rFonts w:ascii="Times" w:hAnsi="Times" w:cs="Arial"/>
                <w:b w:val="0"/>
              </w:rPr>
              <w:t>Generic accounts shall be limited as much as possible. For administrator tasks with administration rights and possible high risks the 4-eyes principle needs to be applied.</w:t>
            </w:r>
          </w:p>
        </w:tc>
        <w:tc>
          <w:tcPr>
            <w:tcW w:w="1701" w:type="dxa"/>
          </w:tcPr>
          <w:p w14:paraId="7ED87468"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c>
          <w:tcPr>
            <w:tcW w:w="3328" w:type="dxa"/>
          </w:tcPr>
          <w:p w14:paraId="50F6C885"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r>
      <w:tr w:rsidR="00A66F4B" w:rsidRPr="0038430C" w14:paraId="4BC2BE85" w14:textId="77777777" w:rsidTr="008F29A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none" w:sz="0" w:space="0" w:color="auto"/>
            </w:tcBorders>
            <w:hideMark/>
          </w:tcPr>
          <w:p w14:paraId="4F3EBE64" w14:textId="77777777" w:rsidR="00A66F4B" w:rsidRPr="001235F1" w:rsidRDefault="00A66F4B" w:rsidP="008F29A3">
            <w:pPr>
              <w:rPr>
                <w:rFonts w:ascii="Times" w:hAnsi="Times" w:cs="Arial"/>
                <w:b w:val="0"/>
                <w:color w:val="000000"/>
              </w:rPr>
            </w:pPr>
            <w:r w:rsidRPr="001235F1">
              <w:rPr>
                <w:rFonts w:ascii="Times" w:hAnsi="Times" w:cs="Arial"/>
                <w:b w:val="0"/>
                <w:color w:val="000000"/>
              </w:rPr>
              <w:t>Passwords shall be stored safely.</w:t>
            </w:r>
          </w:p>
        </w:tc>
        <w:tc>
          <w:tcPr>
            <w:tcW w:w="1701" w:type="dxa"/>
            <w:tcBorders>
              <w:top w:val="none" w:sz="0" w:space="0" w:color="auto"/>
              <w:bottom w:val="none" w:sz="0" w:space="0" w:color="auto"/>
            </w:tcBorders>
          </w:tcPr>
          <w:p w14:paraId="351AEEC0"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c>
          <w:tcPr>
            <w:tcW w:w="3328" w:type="dxa"/>
            <w:tcBorders>
              <w:top w:val="none" w:sz="0" w:space="0" w:color="auto"/>
              <w:bottom w:val="none" w:sz="0" w:space="0" w:color="auto"/>
              <w:right w:val="none" w:sz="0" w:space="0" w:color="auto"/>
            </w:tcBorders>
          </w:tcPr>
          <w:p w14:paraId="65460F38"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r>
      <w:tr w:rsidR="00A66F4B" w:rsidRPr="0038430C" w14:paraId="10C69EC1" w14:textId="77777777" w:rsidTr="008F29A3">
        <w:trPr>
          <w:trHeight w:val="565"/>
        </w:trPr>
        <w:tc>
          <w:tcPr>
            <w:cnfStyle w:val="001000000000" w:firstRow="0" w:lastRow="0" w:firstColumn="1" w:lastColumn="0" w:oddVBand="0" w:evenVBand="0" w:oddHBand="0" w:evenHBand="0" w:firstRowFirstColumn="0" w:firstRowLastColumn="0" w:lastRowFirstColumn="0" w:lastRowLastColumn="0"/>
            <w:tcW w:w="4815" w:type="dxa"/>
            <w:hideMark/>
          </w:tcPr>
          <w:p w14:paraId="0913D2BB" w14:textId="77777777" w:rsidR="00A66F4B" w:rsidRPr="001235F1" w:rsidRDefault="00A66F4B" w:rsidP="008F29A3">
            <w:pPr>
              <w:rPr>
                <w:rFonts w:ascii="Times" w:hAnsi="Times" w:cs="Arial"/>
                <w:b w:val="0"/>
                <w:color w:val="000000"/>
              </w:rPr>
            </w:pPr>
            <w:r w:rsidRPr="001235F1">
              <w:rPr>
                <w:rFonts w:ascii="Times" w:hAnsi="Times" w:cs="Arial"/>
                <w:b w:val="0"/>
                <w:color w:val="000000"/>
              </w:rPr>
              <w:t>The cooperation with value chain partners will become more important. The exchange of information (files) and access to data-sources shall be managed properly. For confidential information, encryption is optional. For secret data, encryption is mandatory.</w:t>
            </w:r>
          </w:p>
        </w:tc>
        <w:tc>
          <w:tcPr>
            <w:tcW w:w="1701" w:type="dxa"/>
          </w:tcPr>
          <w:p w14:paraId="5887FE50"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c>
          <w:tcPr>
            <w:tcW w:w="3328" w:type="dxa"/>
          </w:tcPr>
          <w:p w14:paraId="74342D9C"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r>
      <w:tr w:rsidR="00A66F4B" w:rsidRPr="0038430C" w14:paraId="1736F334" w14:textId="77777777" w:rsidTr="008F29A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none" w:sz="0" w:space="0" w:color="auto"/>
            </w:tcBorders>
            <w:hideMark/>
          </w:tcPr>
          <w:p w14:paraId="2EC506F0" w14:textId="77777777" w:rsidR="00A66F4B" w:rsidRPr="001235F1" w:rsidRDefault="00A66F4B" w:rsidP="008F29A3">
            <w:pPr>
              <w:rPr>
                <w:rFonts w:ascii="Times" w:hAnsi="Times" w:cs="Arial"/>
                <w:b w:val="0"/>
                <w:color w:val="000000"/>
              </w:rPr>
            </w:pPr>
            <w:r w:rsidRPr="001235F1">
              <w:rPr>
                <w:rFonts w:ascii="Times" w:hAnsi="Times" w:cs="Arial"/>
                <w:b w:val="0"/>
                <w:color w:val="000000"/>
              </w:rPr>
              <w:t xml:space="preserve">The </w:t>
            </w:r>
            <w:r>
              <w:rPr>
                <w:rFonts w:ascii="Times" w:hAnsi="Times" w:cs="Arial"/>
                <w:b w:val="0"/>
                <w:color w:val="000000"/>
              </w:rPr>
              <w:t>Tenderer</w:t>
            </w:r>
            <w:r w:rsidRPr="001235F1">
              <w:rPr>
                <w:rFonts w:ascii="Times" w:hAnsi="Times" w:cs="Arial"/>
                <w:b w:val="0"/>
                <w:color w:val="000000"/>
              </w:rPr>
              <w:t xml:space="preserve"> shall provide upon request a detailed description about their definition of an incident.</w:t>
            </w:r>
          </w:p>
        </w:tc>
        <w:tc>
          <w:tcPr>
            <w:tcW w:w="1701" w:type="dxa"/>
            <w:tcBorders>
              <w:top w:val="none" w:sz="0" w:space="0" w:color="auto"/>
              <w:bottom w:val="none" w:sz="0" w:space="0" w:color="auto"/>
            </w:tcBorders>
          </w:tcPr>
          <w:p w14:paraId="57A80133"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c>
          <w:tcPr>
            <w:tcW w:w="3328" w:type="dxa"/>
            <w:tcBorders>
              <w:top w:val="none" w:sz="0" w:space="0" w:color="auto"/>
              <w:bottom w:val="none" w:sz="0" w:space="0" w:color="auto"/>
              <w:right w:val="none" w:sz="0" w:space="0" w:color="auto"/>
            </w:tcBorders>
          </w:tcPr>
          <w:p w14:paraId="6342DD76"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r>
      <w:tr w:rsidR="00A66F4B" w:rsidRPr="0038430C" w14:paraId="3E6D6469" w14:textId="77777777" w:rsidTr="008F29A3">
        <w:trPr>
          <w:trHeight w:val="565"/>
        </w:trPr>
        <w:tc>
          <w:tcPr>
            <w:cnfStyle w:val="001000000000" w:firstRow="0" w:lastRow="0" w:firstColumn="1" w:lastColumn="0" w:oddVBand="0" w:evenVBand="0" w:oddHBand="0" w:evenHBand="0" w:firstRowFirstColumn="0" w:firstRowLastColumn="0" w:lastRowFirstColumn="0" w:lastRowLastColumn="0"/>
            <w:tcW w:w="4815" w:type="dxa"/>
            <w:hideMark/>
          </w:tcPr>
          <w:p w14:paraId="321CC49E" w14:textId="77777777" w:rsidR="00A66F4B" w:rsidRPr="001235F1" w:rsidRDefault="00A66F4B" w:rsidP="008F29A3">
            <w:pPr>
              <w:rPr>
                <w:rFonts w:ascii="Times" w:hAnsi="Times" w:cs="Arial"/>
                <w:b w:val="0"/>
                <w:color w:val="000000"/>
              </w:rPr>
            </w:pPr>
            <w:r w:rsidRPr="001235F1">
              <w:rPr>
                <w:rFonts w:ascii="Times" w:hAnsi="Times" w:cs="Arial"/>
                <w:b w:val="0"/>
                <w:color w:val="000000"/>
              </w:rPr>
              <w:t xml:space="preserve">The </w:t>
            </w:r>
            <w:r>
              <w:rPr>
                <w:rFonts w:ascii="Times" w:hAnsi="Times" w:cs="Arial"/>
                <w:b w:val="0"/>
                <w:color w:val="000000"/>
              </w:rPr>
              <w:t>Tenderer</w:t>
            </w:r>
            <w:r w:rsidRPr="001235F1">
              <w:rPr>
                <w:rFonts w:ascii="Times" w:hAnsi="Times" w:cs="Arial"/>
                <w:b w:val="0"/>
                <w:color w:val="000000"/>
              </w:rPr>
              <w:t xml:space="preserve"> is obliged to report high risk security incident within one day to FMO. The provider is obliged to provide upon request information about specifics that have occurred. </w:t>
            </w:r>
          </w:p>
        </w:tc>
        <w:tc>
          <w:tcPr>
            <w:tcW w:w="1701" w:type="dxa"/>
          </w:tcPr>
          <w:p w14:paraId="14AFBA1E"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c>
          <w:tcPr>
            <w:tcW w:w="3328" w:type="dxa"/>
          </w:tcPr>
          <w:p w14:paraId="3483C6C6"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r>
      <w:tr w:rsidR="00A66F4B" w:rsidRPr="0038430C" w14:paraId="25979EE3" w14:textId="77777777" w:rsidTr="008F29A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none" w:sz="0" w:space="0" w:color="auto"/>
            </w:tcBorders>
            <w:hideMark/>
          </w:tcPr>
          <w:p w14:paraId="05B1D8C1" w14:textId="77777777" w:rsidR="00A66F4B" w:rsidRPr="001235F1" w:rsidRDefault="00A66F4B" w:rsidP="008F29A3">
            <w:pPr>
              <w:rPr>
                <w:rFonts w:ascii="Times" w:hAnsi="Times" w:cs="Arial"/>
                <w:b w:val="0"/>
                <w:color w:val="000000"/>
              </w:rPr>
            </w:pPr>
            <w:r w:rsidRPr="001235F1">
              <w:rPr>
                <w:rFonts w:ascii="Times" w:hAnsi="Times" w:cs="Arial"/>
                <w:b w:val="0"/>
                <w:color w:val="000000"/>
              </w:rPr>
              <w:t xml:space="preserve">The </w:t>
            </w:r>
            <w:r>
              <w:rPr>
                <w:rFonts w:ascii="Times" w:hAnsi="Times" w:cs="Arial"/>
                <w:b w:val="0"/>
                <w:color w:val="000000"/>
              </w:rPr>
              <w:t>Tenderer</w:t>
            </w:r>
            <w:r w:rsidRPr="001235F1">
              <w:rPr>
                <w:rFonts w:ascii="Times" w:hAnsi="Times" w:cs="Arial"/>
                <w:b w:val="0"/>
                <w:color w:val="000000"/>
              </w:rPr>
              <w:t xml:space="preserve"> is obliged to solve security incidents as soon as possible, however at a maximum of 5days.</w:t>
            </w:r>
          </w:p>
        </w:tc>
        <w:tc>
          <w:tcPr>
            <w:tcW w:w="1701" w:type="dxa"/>
            <w:tcBorders>
              <w:top w:val="none" w:sz="0" w:space="0" w:color="auto"/>
              <w:bottom w:val="none" w:sz="0" w:space="0" w:color="auto"/>
            </w:tcBorders>
          </w:tcPr>
          <w:p w14:paraId="12D517F7"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c>
          <w:tcPr>
            <w:tcW w:w="3328" w:type="dxa"/>
            <w:tcBorders>
              <w:top w:val="none" w:sz="0" w:space="0" w:color="auto"/>
              <w:bottom w:val="none" w:sz="0" w:space="0" w:color="auto"/>
              <w:right w:val="none" w:sz="0" w:space="0" w:color="auto"/>
            </w:tcBorders>
          </w:tcPr>
          <w:p w14:paraId="14052CE2"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r>
      <w:tr w:rsidR="00A66F4B" w:rsidRPr="0038430C" w14:paraId="22A7C6C4" w14:textId="77777777" w:rsidTr="008F29A3">
        <w:trPr>
          <w:trHeight w:val="565"/>
        </w:trPr>
        <w:tc>
          <w:tcPr>
            <w:cnfStyle w:val="001000000000" w:firstRow="0" w:lastRow="0" w:firstColumn="1" w:lastColumn="0" w:oddVBand="0" w:evenVBand="0" w:oddHBand="0" w:evenHBand="0" w:firstRowFirstColumn="0" w:firstRowLastColumn="0" w:lastRowFirstColumn="0" w:lastRowLastColumn="0"/>
            <w:tcW w:w="4815" w:type="dxa"/>
            <w:hideMark/>
          </w:tcPr>
          <w:p w14:paraId="44B73A90" w14:textId="77777777" w:rsidR="00A66F4B" w:rsidRPr="001235F1" w:rsidRDefault="00A66F4B" w:rsidP="008F29A3">
            <w:pPr>
              <w:rPr>
                <w:rFonts w:ascii="Times" w:hAnsi="Times" w:cs="Arial"/>
                <w:b w:val="0"/>
                <w:color w:val="000000"/>
              </w:rPr>
            </w:pPr>
            <w:r w:rsidRPr="001235F1">
              <w:rPr>
                <w:rFonts w:ascii="Times" w:hAnsi="Times" w:cs="Arial"/>
                <w:b w:val="0"/>
                <w:color w:val="000000"/>
              </w:rPr>
              <w:t xml:space="preserve">Software licenses - what is licensed and is it allowed to use this license in the cloud - shall be clear upfront. The </w:t>
            </w:r>
            <w:r>
              <w:rPr>
                <w:rFonts w:ascii="Times" w:hAnsi="Times" w:cs="Arial"/>
                <w:b w:val="0"/>
                <w:color w:val="000000"/>
              </w:rPr>
              <w:t>Tenderer</w:t>
            </w:r>
            <w:r w:rsidRPr="001235F1">
              <w:rPr>
                <w:rFonts w:ascii="Times" w:hAnsi="Times" w:cs="Arial"/>
                <w:b w:val="0"/>
                <w:color w:val="000000"/>
              </w:rPr>
              <w:t xml:space="preserve"> shall provide upon request an overview of the license compliancy of the systems where FMO data is located.</w:t>
            </w:r>
          </w:p>
        </w:tc>
        <w:tc>
          <w:tcPr>
            <w:tcW w:w="1701" w:type="dxa"/>
          </w:tcPr>
          <w:p w14:paraId="444E86D2"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c>
          <w:tcPr>
            <w:tcW w:w="3328" w:type="dxa"/>
          </w:tcPr>
          <w:p w14:paraId="1396FE55"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r>
      <w:tr w:rsidR="00A66F4B" w:rsidRPr="0038430C" w14:paraId="121709CE" w14:textId="77777777" w:rsidTr="008F29A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none" w:sz="0" w:space="0" w:color="auto"/>
            </w:tcBorders>
            <w:hideMark/>
          </w:tcPr>
          <w:p w14:paraId="19811669" w14:textId="77777777" w:rsidR="00A66F4B" w:rsidRPr="001235F1" w:rsidRDefault="00A66F4B" w:rsidP="008F29A3">
            <w:pPr>
              <w:rPr>
                <w:rFonts w:ascii="Times" w:hAnsi="Times" w:cs="Arial"/>
                <w:b w:val="0"/>
                <w:color w:val="000000"/>
              </w:rPr>
            </w:pPr>
            <w:r w:rsidRPr="001235F1">
              <w:rPr>
                <w:rFonts w:ascii="Times" w:hAnsi="Times" w:cs="Arial"/>
                <w:b w:val="0"/>
                <w:color w:val="000000"/>
              </w:rPr>
              <w:t>Conversion of data: data shall be offered in an open standard format, like defined upfront by the requestor of FMO.</w:t>
            </w:r>
          </w:p>
        </w:tc>
        <w:tc>
          <w:tcPr>
            <w:tcW w:w="1701" w:type="dxa"/>
            <w:tcBorders>
              <w:top w:val="none" w:sz="0" w:space="0" w:color="auto"/>
              <w:bottom w:val="none" w:sz="0" w:space="0" w:color="auto"/>
            </w:tcBorders>
          </w:tcPr>
          <w:p w14:paraId="08457F62"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c>
          <w:tcPr>
            <w:tcW w:w="3328" w:type="dxa"/>
            <w:tcBorders>
              <w:top w:val="none" w:sz="0" w:space="0" w:color="auto"/>
              <w:bottom w:val="none" w:sz="0" w:space="0" w:color="auto"/>
              <w:right w:val="none" w:sz="0" w:space="0" w:color="auto"/>
            </w:tcBorders>
          </w:tcPr>
          <w:p w14:paraId="6D347FC8"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r>
      <w:tr w:rsidR="00A66F4B" w:rsidRPr="0038430C" w14:paraId="041571CA" w14:textId="77777777" w:rsidTr="008F29A3">
        <w:trPr>
          <w:trHeight w:val="282"/>
        </w:trPr>
        <w:tc>
          <w:tcPr>
            <w:cnfStyle w:val="001000000000" w:firstRow="0" w:lastRow="0" w:firstColumn="1" w:lastColumn="0" w:oddVBand="0" w:evenVBand="0" w:oddHBand="0" w:evenHBand="0" w:firstRowFirstColumn="0" w:firstRowLastColumn="0" w:lastRowFirstColumn="0" w:lastRowLastColumn="0"/>
            <w:tcW w:w="4815" w:type="dxa"/>
            <w:hideMark/>
          </w:tcPr>
          <w:p w14:paraId="18DFD7EA" w14:textId="77777777" w:rsidR="00A66F4B" w:rsidRPr="001235F1" w:rsidRDefault="00A66F4B" w:rsidP="008F29A3">
            <w:pPr>
              <w:rPr>
                <w:rFonts w:ascii="Times" w:hAnsi="Times" w:cs="Arial"/>
                <w:b w:val="0"/>
                <w:color w:val="000000"/>
              </w:rPr>
            </w:pPr>
            <w:r w:rsidRPr="001235F1">
              <w:rPr>
                <w:rFonts w:ascii="Times" w:hAnsi="Times" w:cs="Arial"/>
                <w:b w:val="0"/>
                <w:color w:val="000000"/>
              </w:rPr>
              <w:t>The sanitization of data after contract termination shall only be executed with prior approval of FMO.</w:t>
            </w:r>
          </w:p>
        </w:tc>
        <w:tc>
          <w:tcPr>
            <w:tcW w:w="1701" w:type="dxa"/>
          </w:tcPr>
          <w:p w14:paraId="5E6AE8B3"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c>
          <w:tcPr>
            <w:tcW w:w="3328" w:type="dxa"/>
          </w:tcPr>
          <w:p w14:paraId="466DF9D0"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r>
      <w:tr w:rsidR="00A66F4B" w:rsidRPr="0038430C" w14:paraId="483BEE5A" w14:textId="77777777" w:rsidTr="008F29A3">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none" w:sz="0" w:space="0" w:color="auto"/>
            </w:tcBorders>
            <w:hideMark/>
          </w:tcPr>
          <w:p w14:paraId="45BB01F6" w14:textId="77777777" w:rsidR="00A66F4B" w:rsidRPr="001235F1" w:rsidRDefault="00A66F4B" w:rsidP="008F29A3">
            <w:pPr>
              <w:rPr>
                <w:rFonts w:ascii="Times" w:hAnsi="Times" w:cs="Arial"/>
                <w:b w:val="0"/>
                <w:color w:val="000000"/>
              </w:rPr>
            </w:pPr>
            <w:r w:rsidRPr="001235F1">
              <w:rPr>
                <w:rFonts w:ascii="Times" w:hAnsi="Times" w:cs="Arial"/>
                <w:b w:val="0"/>
                <w:color w:val="000000"/>
              </w:rPr>
              <w:t xml:space="preserve">FMO has the right to access logging data. When FMO uses a central logging infrastructure the logging of the </w:t>
            </w:r>
            <w:r>
              <w:rPr>
                <w:rFonts w:ascii="Times" w:hAnsi="Times" w:cs="Arial"/>
                <w:b w:val="0"/>
                <w:color w:val="000000"/>
              </w:rPr>
              <w:t>Tenderer</w:t>
            </w:r>
            <w:r w:rsidRPr="001235F1">
              <w:rPr>
                <w:rFonts w:ascii="Times" w:hAnsi="Times" w:cs="Arial"/>
                <w:b w:val="0"/>
                <w:color w:val="000000"/>
              </w:rPr>
              <w:t xml:space="preserve"> shall - where possible - have the possibility to interface with the central logging of FMO.</w:t>
            </w:r>
          </w:p>
        </w:tc>
        <w:tc>
          <w:tcPr>
            <w:tcW w:w="1701" w:type="dxa"/>
            <w:tcBorders>
              <w:top w:val="none" w:sz="0" w:space="0" w:color="auto"/>
              <w:bottom w:val="none" w:sz="0" w:space="0" w:color="auto"/>
            </w:tcBorders>
          </w:tcPr>
          <w:p w14:paraId="32472152"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c>
          <w:tcPr>
            <w:tcW w:w="3328" w:type="dxa"/>
            <w:tcBorders>
              <w:top w:val="none" w:sz="0" w:space="0" w:color="auto"/>
              <w:bottom w:val="none" w:sz="0" w:space="0" w:color="auto"/>
              <w:right w:val="none" w:sz="0" w:space="0" w:color="auto"/>
            </w:tcBorders>
          </w:tcPr>
          <w:p w14:paraId="6DD6104B"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r>
      <w:tr w:rsidR="00A66F4B" w:rsidRPr="0038430C" w14:paraId="33E76C74" w14:textId="77777777" w:rsidTr="008F29A3">
        <w:trPr>
          <w:trHeight w:val="848"/>
        </w:trPr>
        <w:tc>
          <w:tcPr>
            <w:cnfStyle w:val="001000000000" w:firstRow="0" w:lastRow="0" w:firstColumn="1" w:lastColumn="0" w:oddVBand="0" w:evenVBand="0" w:oddHBand="0" w:evenHBand="0" w:firstRowFirstColumn="0" w:firstRowLastColumn="0" w:lastRowFirstColumn="0" w:lastRowLastColumn="0"/>
            <w:tcW w:w="4815" w:type="dxa"/>
            <w:hideMark/>
          </w:tcPr>
          <w:p w14:paraId="3E33DC1F" w14:textId="77777777" w:rsidR="00A66F4B" w:rsidRPr="001235F1" w:rsidRDefault="00A66F4B" w:rsidP="008F29A3">
            <w:pPr>
              <w:rPr>
                <w:rFonts w:ascii="Times" w:hAnsi="Times" w:cs="Arial"/>
                <w:b w:val="0"/>
                <w:color w:val="000000"/>
              </w:rPr>
            </w:pPr>
            <w:r w:rsidRPr="001235F1">
              <w:rPr>
                <w:rFonts w:ascii="Times" w:hAnsi="Times" w:cs="Arial"/>
                <w:b w:val="0"/>
                <w:color w:val="000000"/>
              </w:rPr>
              <w:t xml:space="preserve">The </w:t>
            </w:r>
            <w:r>
              <w:rPr>
                <w:rFonts w:ascii="Times" w:hAnsi="Times" w:cs="Arial"/>
                <w:b w:val="0"/>
                <w:color w:val="000000"/>
              </w:rPr>
              <w:t>Tenderer</w:t>
            </w:r>
            <w:r w:rsidRPr="001235F1">
              <w:rPr>
                <w:rFonts w:ascii="Times" w:hAnsi="Times" w:cs="Arial"/>
                <w:b w:val="0"/>
                <w:color w:val="000000"/>
              </w:rPr>
              <w:t xml:space="preserve"> and (when applicable) the data hosting party shall not have ties/locations based in the United States. When this is the case, the parties shall comply to the EU/US Privacy Shield or similar/successive alternatives. Information shall be provided which governments or jurisdictions can claim the data of FMO. The </w:t>
            </w:r>
            <w:r>
              <w:rPr>
                <w:rFonts w:ascii="Times" w:hAnsi="Times" w:cs="Arial"/>
                <w:b w:val="0"/>
                <w:color w:val="000000"/>
              </w:rPr>
              <w:t>Tenderer</w:t>
            </w:r>
            <w:r w:rsidRPr="001235F1">
              <w:rPr>
                <w:rFonts w:ascii="Times" w:hAnsi="Times" w:cs="Arial"/>
                <w:b w:val="0"/>
                <w:color w:val="000000"/>
              </w:rPr>
              <w:t xml:space="preserve"> shall communicate relevant laws.</w:t>
            </w:r>
          </w:p>
        </w:tc>
        <w:tc>
          <w:tcPr>
            <w:tcW w:w="1701" w:type="dxa"/>
          </w:tcPr>
          <w:p w14:paraId="66905A8A"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c>
          <w:tcPr>
            <w:tcW w:w="3328" w:type="dxa"/>
          </w:tcPr>
          <w:p w14:paraId="4AEE52B3"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r>
      <w:tr w:rsidR="00A66F4B" w:rsidRPr="0038430C" w14:paraId="228ABBA7" w14:textId="77777777" w:rsidTr="008F29A3">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none" w:sz="0" w:space="0" w:color="auto"/>
            </w:tcBorders>
            <w:hideMark/>
          </w:tcPr>
          <w:p w14:paraId="5038664C" w14:textId="77777777" w:rsidR="00A66F4B" w:rsidRPr="001235F1" w:rsidRDefault="00A66F4B" w:rsidP="008F29A3">
            <w:pPr>
              <w:rPr>
                <w:rFonts w:ascii="Times" w:hAnsi="Times" w:cs="Arial"/>
                <w:b w:val="0"/>
                <w:color w:val="000000"/>
              </w:rPr>
            </w:pPr>
            <w:r w:rsidRPr="001235F1">
              <w:rPr>
                <w:rFonts w:ascii="Times" w:hAnsi="Times" w:cs="Arial"/>
                <w:b w:val="0"/>
                <w:color w:val="000000"/>
              </w:rPr>
              <w:t xml:space="preserve">Tenderer shall provide upon request a schematically, technically complete description of the needed connections between FMO and users and the </w:t>
            </w:r>
            <w:r w:rsidRPr="001235F1">
              <w:rPr>
                <w:rFonts w:ascii="Times" w:hAnsi="Times" w:cs="Arial"/>
                <w:b w:val="0"/>
                <w:color w:val="000000"/>
              </w:rPr>
              <w:lastRenderedPageBreak/>
              <w:t xml:space="preserve">environment of the </w:t>
            </w:r>
            <w:r>
              <w:rPr>
                <w:rFonts w:ascii="Times" w:hAnsi="Times" w:cs="Arial"/>
                <w:b w:val="0"/>
                <w:color w:val="000000"/>
              </w:rPr>
              <w:t>Tenderer</w:t>
            </w:r>
            <w:r w:rsidRPr="001235F1">
              <w:rPr>
                <w:rFonts w:ascii="Times" w:hAnsi="Times" w:cs="Arial"/>
                <w:b w:val="0"/>
                <w:color w:val="000000"/>
              </w:rPr>
              <w:t xml:space="preserve"> (as well as the possible hosting provider / </w:t>
            </w:r>
            <w:proofErr w:type="spellStart"/>
            <w:r w:rsidRPr="001235F1">
              <w:rPr>
                <w:rFonts w:ascii="Times" w:hAnsi="Times" w:cs="Arial"/>
                <w:b w:val="0"/>
                <w:color w:val="000000"/>
              </w:rPr>
              <w:t>datacenter</w:t>
            </w:r>
            <w:proofErr w:type="spellEnd"/>
            <w:r w:rsidRPr="001235F1">
              <w:rPr>
                <w:rFonts w:ascii="Times" w:hAnsi="Times" w:cs="Arial"/>
                <w:b w:val="0"/>
                <w:color w:val="000000"/>
              </w:rPr>
              <w:t>)</w:t>
            </w:r>
          </w:p>
        </w:tc>
        <w:tc>
          <w:tcPr>
            <w:tcW w:w="1701" w:type="dxa"/>
            <w:tcBorders>
              <w:top w:val="none" w:sz="0" w:space="0" w:color="auto"/>
              <w:bottom w:val="none" w:sz="0" w:space="0" w:color="auto"/>
            </w:tcBorders>
          </w:tcPr>
          <w:p w14:paraId="1EB94861"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c>
          <w:tcPr>
            <w:tcW w:w="3328" w:type="dxa"/>
            <w:tcBorders>
              <w:top w:val="none" w:sz="0" w:space="0" w:color="auto"/>
              <w:bottom w:val="none" w:sz="0" w:space="0" w:color="auto"/>
              <w:right w:val="none" w:sz="0" w:space="0" w:color="auto"/>
            </w:tcBorders>
          </w:tcPr>
          <w:p w14:paraId="451A71C0"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r>
      <w:tr w:rsidR="00A66F4B" w:rsidRPr="0038430C" w14:paraId="59A51024" w14:textId="77777777" w:rsidTr="008F29A3">
        <w:trPr>
          <w:trHeight w:val="848"/>
        </w:trPr>
        <w:tc>
          <w:tcPr>
            <w:cnfStyle w:val="001000000000" w:firstRow="0" w:lastRow="0" w:firstColumn="1" w:lastColumn="0" w:oddVBand="0" w:evenVBand="0" w:oddHBand="0" w:evenHBand="0" w:firstRowFirstColumn="0" w:firstRowLastColumn="0" w:lastRowFirstColumn="0" w:lastRowLastColumn="0"/>
            <w:tcW w:w="4815" w:type="dxa"/>
            <w:hideMark/>
          </w:tcPr>
          <w:p w14:paraId="3F4DB488" w14:textId="77777777" w:rsidR="00A66F4B" w:rsidRPr="001235F1" w:rsidRDefault="00A66F4B" w:rsidP="008F29A3">
            <w:pPr>
              <w:rPr>
                <w:rFonts w:ascii="Times" w:hAnsi="Times" w:cs="Arial"/>
                <w:b w:val="0"/>
                <w:color w:val="000000"/>
              </w:rPr>
            </w:pPr>
            <w:r w:rsidRPr="001235F1">
              <w:rPr>
                <w:rFonts w:ascii="Times" w:hAnsi="Times" w:cs="Arial"/>
                <w:b w:val="0"/>
                <w:color w:val="000000"/>
              </w:rPr>
              <w:t xml:space="preserve">Tenderer shall provide upon request a schematically, technically complete description of the needed connections. This consists of which connections are established, way of access, names of servers, type encryption on these connections (e.g. TLS with certificates), over which ports the traffic is routed, IP-addresses, encryption of stored data. </w:t>
            </w:r>
          </w:p>
        </w:tc>
        <w:tc>
          <w:tcPr>
            <w:tcW w:w="1701" w:type="dxa"/>
          </w:tcPr>
          <w:p w14:paraId="2313AE75"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c>
          <w:tcPr>
            <w:tcW w:w="3328" w:type="dxa"/>
          </w:tcPr>
          <w:p w14:paraId="45188B4E"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r>
      <w:tr w:rsidR="00A66F4B" w:rsidRPr="0038430C" w14:paraId="135024C1" w14:textId="77777777" w:rsidTr="008F29A3">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none" w:sz="0" w:space="0" w:color="auto"/>
            </w:tcBorders>
            <w:hideMark/>
          </w:tcPr>
          <w:p w14:paraId="2C6928FE" w14:textId="77777777" w:rsidR="00A66F4B" w:rsidRPr="001235F1" w:rsidRDefault="00A66F4B" w:rsidP="008F29A3">
            <w:pPr>
              <w:rPr>
                <w:rFonts w:ascii="Times" w:hAnsi="Times" w:cs="Arial"/>
                <w:b w:val="0"/>
                <w:color w:val="000000"/>
              </w:rPr>
            </w:pPr>
            <w:r w:rsidRPr="001235F1">
              <w:rPr>
                <w:rFonts w:ascii="Times" w:hAnsi="Times" w:cs="Arial"/>
                <w:b w:val="0"/>
                <w:color w:val="000000"/>
              </w:rPr>
              <w:t>Tenderer shall provide upon request a schematical overview of the cloud components and their coherence. It must be clear where the data is located (in Europe) and where applications are running. A division is essential in this sense. Cloud services where data and applications are intertwined are not allowed. A cloud service should be fully replaceable while the same data is being used.</w:t>
            </w:r>
          </w:p>
        </w:tc>
        <w:tc>
          <w:tcPr>
            <w:tcW w:w="1701" w:type="dxa"/>
            <w:tcBorders>
              <w:top w:val="none" w:sz="0" w:space="0" w:color="auto"/>
              <w:bottom w:val="none" w:sz="0" w:space="0" w:color="auto"/>
            </w:tcBorders>
          </w:tcPr>
          <w:p w14:paraId="59567209"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c>
          <w:tcPr>
            <w:tcW w:w="3328" w:type="dxa"/>
            <w:tcBorders>
              <w:top w:val="none" w:sz="0" w:space="0" w:color="auto"/>
              <w:bottom w:val="none" w:sz="0" w:space="0" w:color="auto"/>
              <w:right w:val="none" w:sz="0" w:space="0" w:color="auto"/>
            </w:tcBorders>
          </w:tcPr>
          <w:p w14:paraId="6461B456"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r>
      <w:tr w:rsidR="00A66F4B" w:rsidRPr="0038430C" w14:paraId="0BF7FCED" w14:textId="77777777" w:rsidTr="008F29A3">
        <w:trPr>
          <w:trHeight w:val="282"/>
        </w:trPr>
        <w:tc>
          <w:tcPr>
            <w:cnfStyle w:val="001000000000" w:firstRow="0" w:lastRow="0" w:firstColumn="1" w:lastColumn="0" w:oddVBand="0" w:evenVBand="0" w:oddHBand="0" w:evenHBand="0" w:firstRowFirstColumn="0" w:firstRowLastColumn="0" w:lastRowFirstColumn="0" w:lastRowLastColumn="0"/>
            <w:tcW w:w="4815" w:type="dxa"/>
            <w:hideMark/>
          </w:tcPr>
          <w:p w14:paraId="049ECDF8" w14:textId="77777777" w:rsidR="00A66F4B" w:rsidRPr="001235F1" w:rsidRDefault="00A66F4B" w:rsidP="008F29A3">
            <w:pPr>
              <w:rPr>
                <w:rFonts w:ascii="Times" w:hAnsi="Times" w:cs="Arial"/>
                <w:b w:val="0"/>
                <w:color w:val="000000"/>
              </w:rPr>
            </w:pPr>
            <w:r w:rsidRPr="001235F1">
              <w:rPr>
                <w:rFonts w:ascii="Times" w:hAnsi="Times" w:cs="Arial"/>
                <w:b w:val="0"/>
                <w:color w:val="000000"/>
              </w:rPr>
              <w:t>Tenderer shall perform an annual disaster test and present the results to FMO.</w:t>
            </w:r>
          </w:p>
        </w:tc>
        <w:tc>
          <w:tcPr>
            <w:tcW w:w="1701" w:type="dxa"/>
          </w:tcPr>
          <w:p w14:paraId="5B504C01"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c>
          <w:tcPr>
            <w:tcW w:w="3328" w:type="dxa"/>
          </w:tcPr>
          <w:p w14:paraId="3280A2F2" w14:textId="77777777" w:rsidR="00A66F4B" w:rsidRPr="001235F1" w:rsidRDefault="00A66F4B" w:rsidP="008F29A3">
            <w:pPr>
              <w:cnfStyle w:val="000000000000" w:firstRow="0" w:lastRow="0" w:firstColumn="0" w:lastColumn="0" w:oddVBand="0" w:evenVBand="0" w:oddHBand="0" w:evenHBand="0" w:firstRowFirstColumn="0" w:firstRowLastColumn="0" w:lastRowFirstColumn="0" w:lastRowLastColumn="0"/>
              <w:rPr>
                <w:rFonts w:ascii="Times" w:hAnsi="Times" w:cs="Arial"/>
                <w:b/>
                <w:color w:val="000000"/>
              </w:rPr>
            </w:pPr>
          </w:p>
        </w:tc>
      </w:tr>
      <w:tr w:rsidR="00A66F4B" w:rsidRPr="0038430C" w14:paraId="646E46B9" w14:textId="77777777" w:rsidTr="008F29A3">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none" w:sz="0" w:space="0" w:color="auto"/>
            </w:tcBorders>
            <w:hideMark/>
          </w:tcPr>
          <w:p w14:paraId="43AECFDD" w14:textId="77777777" w:rsidR="00A66F4B" w:rsidRPr="001235F1" w:rsidRDefault="00A66F4B" w:rsidP="008F29A3">
            <w:pPr>
              <w:rPr>
                <w:rFonts w:ascii="Times" w:hAnsi="Times" w:cs="Arial"/>
                <w:b w:val="0"/>
                <w:color w:val="000000"/>
              </w:rPr>
            </w:pPr>
            <w:r w:rsidRPr="001235F1">
              <w:rPr>
                <w:rFonts w:ascii="Times" w:hAnsi="Times" w:cs="Arial"/>
                <w:b w:val="0"/>
                <w:color w:val="000000"/>
              </w:rPr>
              <w:t>Tenderer shall not make radical changes to the architecture without prior notice (and approval) of FMO (e.g. change of the back-up procedure or the location where the back-ups are stored).</w:t>
            </w:r>
          </w:p>
        </w:tc>
        <w:tc>
          <w:tcPr>
            <w:tcW w:w="1701" w:type="dxa"/>
            <w:tcBorders>
              <w:top w:val="none" w:sz="0" w:space="0" w:color="auto"/>
              <w:bottom w:val="none" w:sz="0" w:space="0" w:color="auto"/>
            </w:tcBorders>
          </w:tcPr>
          <w:p w14:paraId="24691ADE"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c>
          <w:tcPr>
            <w:tcW w:w="3328" w:type="dxa"/>
            <w:tcBorders>
              <w:top w:val="none" w:sz="0" w:space="0" w:color="auto"/>
              <w:bottom w:val="none" w:sz="0" w:space="0" w:color="auto"/>
              <w:right w:val="none" w:sz="0" w:space="0" w:color="auto"/>
            </w:tcBorders>
          </w:tcPr>
          <w:p w14:paraId="6F38785C" w14:textId="77777777" w:rsidR="00A66F4B" w:rsidRPr="001235F1" w:rsidRDefault="00A66F4B" w:rsidP="008F29A3">
            <w:pPr>
              <w:cnfStyle w:val="000000100000" w:firstRow="0" w:lastRow="0" w:firstColumn="0" w:lastColumn="0" w:oddVBand="0" w:evenVBand="0" w:oddHBand="1" w:evenHBand="0" w:firstRowFirstColumn="0" w:firstRowLastColumn="0" w:lastRowFirstColumn="0" w:lastRowLastColumn="0"/>
              <w:rPr>
                <w:rFonts w:ascii="Times" w:hAnsi="Times" w:cs="Arial"/>
                <w:b/>
                <w:color w:val="000000"/>
              </w:rPr>
            </w:pPr>
          </w:p>
        </w:tc>
      </w:tr>
    </w:tbl>
    <w:p w14:paraId="66CE120F" w14:textId="77777777" w:rsidR="003A4677" w:rsidRDefault="008C5F4D"/>
    <w:sectPr w:rsidR="003A4677" w:rsidSect="00D959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B7DD4"/>
    <w:multiLevelType w:val="hybridMultilevel"/>
    <w:tmpl w:val="19EA7464"/>
    <w:lvl w:ilvl="0" w:tplc="650883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42580"/>
    <w:multiLevelType w:val="multilevel"/>
    <w:tmpl w:val="382A0844"/>
    <w:lvl w:ilvl="0">
      <w:start w:val="1"/>
      <w:numFmt w:val="upperLetter"/>
      <w:pStyle w:val="Appendix1"/>
      <w:lvlText w:val="%1."/>
      <w:lvlJc w:val="left"/>
      <w:pPr>
        <w:ind w:left="567" w:hanging="567"/>
      </w:pPr>
    </w:lvl>
    <w:lvl w:ilvl="1">
      <w:start w:val="1"/>
      <w:numFmt w:val="decimal"/>
      <w:pStyle w:val="Appendix2"/>
      <w:lvlText w:val="%2."/>
      <w:lvlJc w:val="left"/>
      <w:pPr>
        <w:ind w:left="680" w:hanging="680"/>
      </w:pPr>
      <w:rPr>
        <w:rFonts w:hint="default"/>
      </w:rPr>
    </w:lvl>
    <w:lvl w:ilvl="2">
      <w:start w:val="1"/>
      <w:numFmt w:val="decimal"/>
      <w:pStyle w:val="Appendix3"/>
      <w:lvlText w:val="%1.%2.%3."/>
      <w:lvlJc w:val="left"/>
      <w:pPr>
        <w:ind w:left="794" w:hanging="794"/>
      </w:pPr>
    </w:lvl>
    <w:lvl w:ilvl="3">
      <w:start w:val="1"/>
      <w:numFmt w:val="decimal"/>
      <w:pStyle w:val="Appendix4"/>
      <w:lvlText w:val="%1.%2.%3.%4."/>
      <w:lvlJc w:val="left"/>
      <w:pPr>
        <w:ind w:left="907" w:hanging="907"/>
      </w:pPr>
    </w:lvl>
    <w:lvl w:ilvl="4">
      <w:start w:val="1"/>
      <w:numFmt w:val="decimal"/>
      <w:pStyle w:val="Appendix5"/>
      <w:lvlText w:val="%1.%2.%3.%4.%5."/>
      <w:lvlJc w:val="left"/>
      <w:pPr>
        <w:ind w:left="1021" w:hanging="1021"/>
      </w:pPr>
    </w:lvl>
    <w:lvl w:ilvl="5">
      <w:start w:val="1"/>
      <w:numFmt w:val="decimal"/>
      <w:pStyle w:val="Appendix6"/>
      <w:lvlText w:val="%1.%2.%3.%4.%5.%6."/>
      <w:lvlJc w:val="left"/>
      <w:pPr>
        <w:ind w:left="1134" w:hanging="1134"/>
      </w:pPr>
    </w:lvl>
    <w:lvl w:ilvl="6">
      <w:start w:val="1"/>
      <w:numFmt w:val="decimal"/>
      <w:pStyle w:val="Appendix7"/>
      <w:lvlText w:val="%1.%2.%3.%4.%5.%6.%7."/>
      <w:lvlJc w:val="left"/>
      <w:pPr>
        <w:ind w:left="1247" w:hanging="1247"/>
      </w:pPr>
    </w:lvl>
    <w:lvl w:ilvl="7">
      <w:start w:val="1"/>
      <w:numFmt w:val="decimal"/>
      <w:pStyle w:val="Appendix8"/>
      <w:lvlText w:val="%1.%2.%3.%4.%5.%6.%7.%8."/>
      <w:lvlJc w:val="left"/>
      <w:pPr>
        <w:ind w:left="1361" w:hanging="1361"/>
      </w:pPr>
    </w:lvl>
    <w:lvl w:ilvl="8">
      <w:start w:val="1"/>
      <w:numFmt w:val="decimal"/>
      <w:pStyle w:val="Appendix9"/>
      <w:lvlText w:val="%1.%2.%3.%4.%5.%6.%7.%8.%9."/>
      <w:lvlJc w:val="left"/>
      <w:pPr>
        <w:ind w:left="1474" w:hanging="147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F4B"/>
    <w:rsid w:val="006B40AE"/>
    <w:rsid w:val="00741335"/>
    <w:rsid w:val="008C5F4D"/>
    <w:rsid w:val="00A66F4B"/>
    <w:rsid w:val="00D9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8D72"/>
  <w15:chartTrackingRefBased/>
  <w15:docId w15:val="{984900BD-F541-3E4A-A9C0-D61534F5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3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4"/>
    <w:qFormat/>
    <w:rsid w:val="00A66F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hidden/>
    <w:uiPriority w:val="34"/>
    <w:unhideWhenUsed/>
    <w:qFormat/>
    <w:rsid w:val="00A66F4B"/>
    <w:pPr>
      <w:ind w:left="720"/>
      <w:contextualSpacing/>
    </w:pPr>
  </w:style>
  <w:style w:type="table" w:customStyle="1" w:styleId="LightList-Accent11">
    <w:name w:val="Light List - Accent 11"/>
    <w:basedOn w:val="TableNormal"/>
    <w:uiPriority w:val="61"/>
    <w:rsid w:val="00A66F4B"/>
    <w:rPr>
      <w:rFonts w:ascii="Georgia" w:hAnsi="Georgia"/>
      <w:sz w:val="20"/>
      <w:szCs w:val="20"/>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Appendix5">
    <w:name w:val="Appendix 5"/>
    <w:basedOn w:val="BodyText"/>
    <w:next w:val="BodyText"/>
    <w:uiPriority w:val="34"/>
    <w:qFormat/>
    <w:rsid w:val="00A66F4B"/>
    <w:pPr>
      <w:keepNext/>
      <w:numPr>
        <w:ilvl w:val="4"/>
        <w:numId w:val="1"/>
      </w:numPr>
      <w:tabs>
        <w:tab w:val="num" w:pos="360"/>
      </w:tabs>
      <w:spacing w:after="40"/>
      <w:ind w:left="0" w:firstLine="0"/>
      <w:outlineLvl w:val="4"/>
    </w:pPr>
  </w:style>
  <w:style w:type="paragraph" w:customStyle="1" w:styleId="Appendix4">
    <w:name w:val="Appendix 4"/>
    <w:basedOn w:val="BodyText"/>
    <w:next w:val="BodyText"/>
    <w:uiPriority w:val="34"/>
    <w:qFormat/>
    <w:rsid w:val="00A66F4B"/>
    <w:pPr>
      <w:keepNext/>
      <w:numPr>
        <w:ilvl w:val="3"/>
        <w:numId w:val="1"/>
      </w:numPr>
      <w:tabs>
        <w:tab w:val="num" w:pos="360"/>
      </w:tabs>
      <w:spacing w:after="40"/>
      <w:ind w:left="0" w:firstLine="0"/>
      <w:outlineLvl w:val="3"/>
    </w:pPr>
    <w:rPr>
      <w:i/>
    </w:rPr>
  </w:style>
  <w:style w:type="paragraph" w:customStyle="1" w:styleId="Appendix3">
    <w:name w:val="Appendix 3"/>
    <w:basedOn w:val="BodyText"/>
    <w:next w:val="BodyText"/>
    <w:uiPriority w:val="34"/>
    <w:qFormat/>
    <w:rsid w:val="00A66F4B"/>
    <w:pPr>
      <w:keepNext/>
      <w:numPr>
        <w:ilvl w:val="2"/>
        <w:numId w:val="1"/>
      </w:numPr>
      <w:tabs>
        <w:tab w:val="num" w:pos="360"/>
      </w:tabs>
      <w:spacing w:after="40"/>
      <w:ind w:left="0" w:firstLine="0"/>
      <w:outlineLvl w:val="2"/>
    </w:pPr>
    <w:rPr>
      <w:i/>
      <w:sz w:val="22"/>
    </w:rPr>
  </w:style>
  <w:style w:type="paragraph" w:customStyle="1" w:styleId="Appendix2">
    <w:name w:val="Appendix 2"/>
    <w:basedOn w:val="BodyText"/>
    <w:next w:val="BodyText"/>
    <w:uiPriority w:val="34"/>
    <w:qFormat/>
    <w:rsid w:val="00A66F4B"/>
    <w:pPr>
      <w:keepNext/>
      <w:numPr>
        <w:ilvl w:val="1"/>
        <w:numId w:val="1"/>
      </w:numPr>
      <w:tabs>
        <w:tab w:val="num" w:pos="360"/>
      </w:tabs>
      <w:spacing w:after="40"/>
      <w:ind w:left="0" w:firstLine="0"/>
      <w:outlineLvl w:val="1"/>
    </w:pPr>
    <w:rPr>
      <w:b/>
      <w:i/>
      <w:sz w:val="22"/>
    </w:rPr>
  </w:style>
  <w:style w:type="paragraph" w:customStyle="1" w:styleId="Appendix1">
    <w:name w:val="Appendix 1"/>
    <w:basedOn w:val="BodyText"/>
    <w:next w:val="BodyText"/>
    <w:uiPriority w:val="34"/>
    <w:qFormat/>
    <w:rsid w:val="00A66F4B"/>
    <w:pPr>
      <w:keepNext/>
      <w:numPr>
        <w:numId w:val="1"/>
      </w:numPr>
      <w:tabs>
        <w:tab w:val="num" w:pos="360"/>
      </w:tabs>
      <w:spacing w:after="40"/>
      <w:ind w:left="0" w:firstLine="0"/>
      <w:outlineLvl w:val="0"/>
    </w:pPr>
    <w:rPr>
      <w:b/>
      <w:i/>
    </w:rPr>
  </w:style>
  <w:style w:type="paragraph" w:customStyle="1" w:styleId="Appendix6">
    <w:name w:val="Appendix 6"/>
    <w:basedOn w:val="BodyText"/>
    <w:next w:val="BodyText"/>
    <w:uiPriority w:val="34"/>
    <w:rsid w:val="00A66F4B"/>
    <w:pPr>
      <w:keepNext/>
      <w:numPr>
        <w:ilvl w:val="5"/>
        <w:numId w:val="1"/>
      </w:numPr>
      <w:tabs>
        <w:tab w:val="num" w:pos="360"/>
      </w:tabs>
      <w:spacing w:after="40"/>
      <w:ind w:left="0" w:firstLine="0"/>
      <w:outlineLvl w:val="5"/>
    </w:pPr>
  </w:style>
  <w:style w:type="paragraph" w:customStyle="1" w:styleId="Appendix7">
    <w:name w:val="Appendix 7"/>
    <w:basedOn w:val="BodyText"/>
    <w:next w:val="BodyText"/>
    <w:uiPriority w:val="34"/>
    <w:rsid w:val="00A66F4B"/>
    <w:pPr>
      <w:keepNext/>
      <w:numPr>
        <w:ilvl w:val="6"/>
        <w:numId w:val="1"/>
      </w:numPr>
      <w:tabs>
        <w:tab w:val="num" w:pos="360"/>
      </w:tabs>
      <w:spacing w:after="40"/>
      <w:ind w:left="0" w:firstLine="0"/>
      <w:outlineLvl w:val="6"/>
    </w:pPr>
  </w:style>
  <w:style w:type="paragraph" w:customStyle="1" w:styleId="Appendix8">
    <w:name w:val="Appendix 8"/>
    <w:basedOn w:val="BodyText"/>
    <w:next w:val="BodyText"/>
    <w:uiPriority w:val="34"/>
    <w:rsid w:val="00A66F4B"/>
    <w:pPr>
      <w:keepNext/>
      <w:numPr>
        <w:ilvl w:val="7"/>
        <w:numId w:val="1"/>
      </w:numPr>
      <w:tabs>
        <w:tab w:val="num" w:pos="360"/>
      </w:tabs>
      <w:spacing w:after="40"/>
      <w:ind w:left="0" w:firstLine="0"/>
      <w:outlineLvl w:val="7"/>
    </w:pPr>
  </w:style>
  <w:style w:type="paragraph" w:customStyle="1" w:styleId="Appendix9">
    <w:name w:val="Appendix 9"/>
    <w:basedOn w:val="BodyText"/>
    <w:next w:val="BodyText"/>
    <w:uiPriority w:val="34"/>
    <w:rsid w:val="00A66F4B"/>
    <w:pPr>
      <w:keepNext/>
      <w:numPr>
        <w:ilvl w:val="8"/>
        <w:numId w:val="1"/>
      </w:numPr>
      <w:tabs>
        <w:tab w:val="num" w:pos="360"/>
      </w:tabs>
      <w:spacing w:after="40"/>
      <w:ind w:left="0" w:firstLine="0"/>
      <w:outlineLvl w:val="8"/>
    </w:pPr>
  </w:style>
  <w:style w:type="paragraph" w:styleId="CommentText">
    <w:name w:val="annotation text"/>
    <w:basedOn w:val="Normal"/>
    <w:link w:val="CommentTextChar"/>
    <w:hidden/>
    <w:uiPriority w:val="99"/>
    <w:unhideWhenUsed/>
    <w:rsid w:val="00A66F4B"/>
  </w:style>
  <w:style w:type="character" w:customStyle="1" w:styleId="CommentTextChar">
    <w:name w:val="Comment Text Char"/>
    <w:basedOn w:val="DefaultParagraphFont"/>
    <w:link w:val="CommentText"/>
    <w:uiPriority w:val="99"/>
    <w:rsid w:val="00A66F4B"/>
    <w:rPr>
      <w:rFonts w:ascii="Times New Roman" w:eastAsia="Times New Roman" w:hAnsi="Times New Roman" w:cs="Times New Roman"/>
    </w:rPr>
  </w:style>
  <w:style w:type="character" w:styleId="CommentReference">
    <w:name w:val="annotation reference"/>
    <w:basedOn w:val="DefaultParagraphFont"/>
    <w:hidden/>
    <w:uiPriority w:val="99"/>
    <w:semiHidden/>
    <w:unhideWhenUsed/>
    <w:rsid w:val="00A66F4B"/>
    <w:rPr>
      <w:sz w:val="16"/>
      <w:szCs w:val="16"/>
    </w:rPr>
  </w:style>
  <w:style w:type="table" w:styleId="TableGridLight">
    <w:name w:val="Grid Table Light"/>
    <w:basedOn w:val="TableNormal"/>
    <w:uiPriority w:val="40"/>
    <w:rsid w:val="00A66F4B"/>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99"/>
    <w:semiHidden/>
    <w:unhideWhenUsed/>
    <w:rsid w:val="00A66F4B"/>
    <w:pPr>
      <w:spacing w:after="120"/>
    </w:pPr>
  </w:style>
  <w:style w:type="character" w:customStyle="1" w:styleId="BodyTextChar">
    <w:name w:val="Body Text Char"/>
    <w:basedOn w:val="DefaultParagraphFont"/>
    <w:link w:val="BodyText"/>
    <w:uiPriority w:val="99"/>
    <w:semiHidden/>
    <w:rsid w:val="00A66F4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66F4B"/>
    <w:rPr>
      <w:sz w:val="18"/>
      <w:szCs w:val="18"/>
    </w:rPr>
  </w:style>
  <w:style w:type="character" w:customStyle="1" w:styleId="BalloonTextChar">
    <w:name w:val="Balloon Text Char"/>
    <w:basedOn w:val="DefaultParagraphFont"/>
    <w:link w:val="BalloonText"/>
    <w:uiPriority w:val="99"/>
    <w:semiHidden/>
    <w:rsid w:val="00A66F4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Anne-Rieke Oskamp</cp:lastModifiedBy>
  <cp:revision>3</cp:revision>
  <dcterms:created xsi:type="dcterms:W3CDTF">2019-06-03T19:35:00Z</dcterms:created>
  <dcterms:modified xsi:type="dcterms:W3CDTF">2019-06-04T10:28:00Z</dcterms:modified>
</cp:coreProperties>
</file>