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EA5C" w14:textId="77777777" w:rsidR="000E4401" w:rsidRDefault="000E4401">
      <w:pPr>
        <w:rPr>
          <w:rFonts w:ascii="Arial" w:hAnsi="Arial" w:cs="Arial"/>
          <w:b/>
          <w:sz w:val="20"/>
          <w:szCs w:val="20"/>
          <w:u w:val="single"/>
        </w:rPr>
      </w:pPr>
    </w:p>
    <w:p w14:paraId="3CFE7A99" w14:textId="6FB38CE9" w:rsidR="0039595D" w:rsidRPr="00F97874" w:rsidRDefault="00A259B5">
      <w:pPr>
        <w:rPr>
          <w:rFonts w:ascii="Arial" w:hAnsi="Arial" w:cs="Arial"/>
          <w:b/>
          <w:sz w:val="20"/>
          <w:szCs w:val="20"/>
          <w:u w:val="single"/>
        </w:rPr>
      </w:pPr>
      <w:r>
        <w:rPr>
          <w:rFonts w:ascii="Arial" w:hAnsi="Arial" w:cs="Arial"/>
          <w:b/>
          <w:sz w:val="20"/>
          <w:szCs w:val="20"/>
          <w:u w:val="single"/>
        </w:rPr>
        <w:t>20</w:t>
      </w:r>
      <w:r w:rsidR="009400EC">
        <w:rPr>
          <w:rFonts w:ascii="Arial" w:hAnsi="Arial" w:cs="Arial"/>
          <w:b/>
          <w:sz w:val="20"/>
          <w:szCs w:val="20"/>
          <w:u w:val="single"/>
        </w:rPr>
        <w:t>2</w:t>
      </w:r>
      <w:r w:rsidR="00D32E66">
        <w:rPr>
          <w:rFonts w:ascii="Arial" w:hAnsi="Arial" w:cs="Arial"/>
          <w:b/>
          <w:sz w:val="20"/>
          <w:szCs w:val="20"/>
          <w:u w:val="single"/>
        </w:rPr>
        <w:t>2</w:t>
      </w:r>
      <w:r>
        <w:rPr>
          <w:rFonts w:ascii="Arial" w:hAnsi="Arial" w:cs="Arial"/>
          <w:b/>
          <w:sz w:val="20"/>
          <w:szCs w:val="20"/>
          <w:u w:val="single"/>
        </w:rPr>
        <w:t xml:space="preserve"> </w:t>
      </w:r>
      <w:r w:rsidR="0039595D" w:rsidRPr="00F97874">
        <w:rPr>
          <w:rFonts w:ascii="Arial" w:hAnsi="Arial" w:cs="Arial"/>
          <w:b/>
          <w:sz w:val="20"/>
          <w:szCs w:val="20"/>
          <w:u w:val="single"/>
        </w:rPr>
        <w:t xml:space="preserve">Report Remuneration Policy </w:t>
      </w:r>
      <w:r w:rsidR="00C927F1" w:rsidRPr="00F97874">
        <w:rPr>
          <w:rFonts w:ascii="Arial" w:hAnsi="Arial" w:cs="Arial"/>
          <w:b/>
          <w:sz w:val="20"/>
          <w:szCs w:val="20"/>
          <w:u w:val="single"/>
        </w:rPr>
        <w:t xml:space="preserve">and Practice </w:t>
      </w:r>
      <w:r w:rsidR="0039595D" w:rsidRPr="00F97874">
        <w:rPr>
          <w:rFonts w:ascii="Arial" w:hAnsi="Arial" w:cs="Arial"/>
          <w:b/>
          <w:sz w:val="20"/>
          <w:szCs w:val="20"/>
          <w:u w:val="single"/>
        </w:rPr>
        <w:t xml:space="preserve">regarding Identified Staff </w:t>
      </w:r>
      <w:r w:rsidR="00354117" w:rsidRPr="00F97874">
        <w:rPr>
          <w:rFonts w:ascii="Arial" w:hAnsi="Arial" w:cs="Arial"/>
          <w:b/>
          <w:sz w:val="20"/>
          <w:szCs w:val="20"/>
          <w:u w:val="single"/>
        </w:rPr>
        <w:t xml:space="preserve">of </w:t>
      </w:r>
      <w:r w:rsidR="0039595D" w:rsidRPr="00F97874">
        <w:rPr>
          <w:rFonts w:ascii="Arial" w:hAnsi="Arial" w:cs="Arial"/>
          <w:b/>
          <w:sz w:val="20"/>
          <w:szCs w:val="20"/>
          <w:u w:val="single"/>
        </w:rPr>
        <w:t>FMO</w:t>
      </w:r>
    </w:p>
    <w:p w14:paraId="09B214EE" w14:textId="1FC517CE" w:rsidR="00E2597F" w:rsidRPr="00FE5290" w:rsidRDefault="0039595D">
      <w:pPr>
        <w:rPr>
          <w:rFonts w:ascii="Arial" w:hAnsi="Arial" w:cs="Arial"/>
          <w:sz w:val="20"/>
          <w:szCs w:val="20"/>
        </w:rPr>
      </w:pPr>
      <w:r w:rsidRPr="00FE5290">
        <w:rPr>
          <w:rFonts w:ascii="Arial" w:hAnsi="Arial" w:cs="Arial"/>
          <w:sz w:val="20"/>
          <w:szCs w:val="20"/>
        </w:rPr>
        <w:t xml:space="preserve">FMO is reporting on </w:t>
      </w:r>
      <w:r w:rsidR="00FE5290" w:rsidRPr="00FE5290">
        <w:rPr>
          <w:rFonts w:ascii="Arial" w:hAnsi="Arial" w:cs="Arial"/>
          <w:sz w:val="20"/>
          <w:szCs w:val="20"/>
        </w:rPr>
        <w:t>an annual basis</w:t>
      </w:r>
      <w:r w:rsidRPr="00FE5290">
        <w:rPr>
          <w:rFonts w:ascii="Arial" w:hAnsi="Arial" w:cs="Arial"/>
          <w:sz w:val="20"/>
          <w:szCs w:val="20"/>
        </w:rPr>
        <w:t xml:space="preserve"> about the remuneration policy and practice regarding </w:t>
      </w:r>
      <w:r w:rsidR="002819A9" w:rsidRPr="00FE5290">
        <w:rPr>
          <w:rFonts w:ascii="Arial" w:hAnsi="Arial" w:cs="Arial"/>
          <w:sz w:val="20"/>
          <w:szCs w:val="20"/>
        </w:rPr>
        <w:t xml:space="preserve">the </w:t>
      </w:r>
      <w:r w:rsidR="00E2597F" w:rsidRPr="00FE5290">
        <w:rPr>
          <w:rFonts w:ascii="Arial" w:hAnsi="Arial" w:cs="Arial"/>
          <w:sz w:val="20"/>
          <w:szCs w:val="20"/>
        </w:rPr>
        <w:t>Identified Staff</w:t>
      </w:r>
      <w:r w:rsidR="00901406" w:rsidRPr="00FE5290">
        <w:rPr>
          <w:rFonts w:ascii="Arial" w:hAnsi="Arial" w:cs="Arial"/>
          <w:sz w:val="20"/>
          <w:szCs w:val="20"/>
        </w:rPr>
        <w:t xml:space="preserve"> of FMO</w:t>
      </w:r>
      <w:r w:rsidR="007B0AA2" w:rsidRPr="00FE5290">
        <w:rPr>
          <w:rFonts w:ascii="Arial" w:hAnsi="Arial" w:cs="Arial"/>
          <w:sz w:val="20"/>
          <w:szCs w:val="20"/>
        </w:rPr>
        <w:t>.</w:t>
      </w:r>
      <w:r w:rsidR="00E2597F" w:rsidRPr="00FE5290">
        <w:rPr>
          <w:rFonts w:ascii="Arial" w:hAnsi="Arial" w:cs="Arial"/>
          <w:sz w:val="20"/>
          <w:szCs w:val="20"/>
        </w:rPr>
        <w:t xml:space="preserve"> Identified Staff are individuals who </w:t>
      </w:r>
      <w:r w:rsidR="00670667" w:rsidRPr="00FE5290">
        <w:rPr>
          <w:rFonts w:ascii="Arial" w:hAnsi="Arial" w:cs="Arial"/>
          <w:sz w:val="20"/>
          <w:szCs w:val="20"/>
        </w:rPr>
        <w:t xml:space="preserve">could </w:t>
      </w:r>
      <w:r w:rsidR="00E2597F" w:rsidRPr="00FE5290">
        <w:rPr>
          <w:rFonts w:ascii="Arial" w:hAnsi="Arial" w:cs="Arial"/>
          <w:sz w:val="20"/>
          <w:szCs w:val="20"/>
        </w:rPr>
        <w:t xml:space="preserve">have </w:t>
      </w:r>
      <w:r w:rsidR="00670667" w:rsidRPr="00FE5290">
        <w:rPr>
          <w:rFonts w:ascii="Arial" w:hAnsi="Arial" w:cs="Arial"/>
          <w:sz w:val="20"/>
          <w:szCs w:val="20"/>
        </w:rPr>
        <w:t xml:space="preserve">significant impact on FMO’s </w:t>
      </w:r>
      <w:r w:rsidR="00E2597F" w:rsidRPr="00FE5290">
        <w:rPr>
          <w:rFonts w:ascii="Arial" w:hAnsi="Arial" w:cs="Arial"/>
          <w:sz w:val="20"/>
          <w:szCs w:val="20"/>
        </w:rPr>
        <w:t xml:space="preserve">risk profile. </w:t>
      </w:r>
      <w:r w:rsidR="006C0E39">
        <w:rPr>
          <w:rFonts w:ascii="Arial" w:hAnsi="Arial" w:cs="Arial"/>
          <w:sz w:val="20"/>
          <w:szCs w:val="20"/>
        </w:rPr>
        <w:t>T</w:t>
      </w:r>
      <w:r w:rsidR="007B0AA2" w:rsidRPr="00FE5290">
        <w:rPr>
          <w:rFonts w:ascii="Arial" w:hAnsi="Arial" w:cs="Arial"/>
          <w:sz w:val="20"/>
          <w:szCs w:val="20"/>
        </w:rPr>
        <w:t xml:space="preserve">he </w:t>
      </w:r>
      <w:r w:rsidR="008843D7">
        <w:rPr>
          <w:rFonts w:ascii="Arial" w:hAnsi="Arial" w:cs="Arial"/>
          <w:sz w:val="20"/>
          <w:szCs w:val="20"/>
        </w:rPr>
        <w:t>Eur</w:t>
      </w:r>
      <w:r w:rsidR="007B0AA2" w:rsidRPr="00FE5290">
        <w:rPr>
          <w:rFonts w:ascii="Arial" w:hAnsi="Arial" w:cs="Arial"/>
          <w:sz w:val="20"/>
          <w:szCs w:val="20"/>
        </w:rPr>
        <w:t>opean Ba</w:t>
      </w:r>
      <w:r w:rsidR="006C0E39">
        <w:rPr>
          <w:rFonts w:ascii="Arial" w:hAnsi="Arial" w:cs="Arial"/>
          <w:sz w:val="20"/>
          <w:szCs w:val="20"/>
        </w:rPr>
        <w:t>nking Authority (EBA) issued</w:t>
      </w:r>
      <w:r w:rsidR="007B0AA2" w:rsidRPr="00FE5290">
        <w:rPr>
          <w:rFonts w:ascii="Arial" w:hAnsi="Arial" w:cs="Arial"/>
          <w:sz w:val="20"/>
          <w:szCs w:val="20"/>
        </w:rPr>
        <w:t xml:space="preserve"> criteria for determining which employees should be designated as Identified Staff. </w:t>
      </w:r>
      <w:r w:rsidR="00E2597F" w:rsidRPr="00FE5290">
        <w:rPr>
          <w:rFonts w:ascii="Arial" w:hAnsi="Arial" w:cs="Arial"/>
          <w:sz w:val="20"/>
          <w:szCs w:val="20"/>
        </w:rPr>
        <w:t>Based on the</w:t>
      </w:r>
      <w:r w:rsidR="007B0AA2" w:rsidRPr="00FE5290">
        <w:rPr>
          <w:rFonts w:ascii="Arial" w:hAnsi="Arial" w:cs="Arial"/>
          <w:sz w:val="20"/>
          <w:szCs w:val="20"/>
        </w:rPr>
        <w:t>se</w:t>
      </w:r>
      <w:r w:rsidR="00E2597F" w:rsidRPr="00FE5290">
        <w:rPr>
          <w:rFonts w:ascii="Arial" w:hAnsi="Arial" w:cs="Arial"/>
          <w:sz w:val="20"/>
          <w:szCs w:val="20"/>
        </w:rPr>
        <w:t xml:space="preserve"> </w:t>
      </w:r>
      <w:r w:rsidR="00670667" w:rsidRPr="00FE5290">
        <w:rPr>
          <w:rFonts w:ascii="Arial" w:hAnsi="Arial" w:cs="Arial"/>
          <w:sz w:val="20"/>
          <w:szCs w:val="20"/>
        </w:rPr>
        <w:t>guidelines</w:t>
      </w:r>
      <w:r w:rsidR="00E2597F" w:rsidRPr="00FE5290">
        <w:rPr>
          <w:rFonts w:ascii="Arial" w:hAnsi="Arial" w:cs="Arial"/>
          <w:sz w:val="20"/>
          <w:szCs w:val="20"/>
        </w:rPr>
        <w:t>, Identified Staff comprise not only members of the Supervisory Board</w:t>
      </w:r>
      <w:r w:rsidR="00991C4F">
        <w:rPr>
          <w:rFonts w:ascii="Arial" w:hAnsi="Arial" w:cs="Arial"/>
          <w:sz w:val="20"/>
          <w:szCs w:val="20"/>
        </w:rPr>
        <w:t>,</w:t>
      </w:r>
      <w:r w:rsidR="00E2597F" w:rsidRPr="00FE5290">
        <w:rPr>
          <w:rFonts w:ascii="Arial" w:hAnsi="Arial" w:cs="Arial"/>
          <w:sz w:val="20"/>
          <w:szCs w:val="20"/>
        </w:rPr>
        <w:t xml:space="preserve"> </w:t>
      </w:r>
      <w:r w:rsidR="00C77AAD" w:rsidRPr="00FE5290">
        <w:rPr>
          <w:rFonts w:ascii="Arial" w:hAnsi="Arial" w:cs="Arial"/>
          <w:sz w:val="20"/>
          <w:szCs w:val="20"/>
        </w:rPr>
        <w:t xml:space="preserve">Management Board </w:t>
      </w:r>
      <w:r w:rsidR="00E2597F" w:rsidRPr="00FE5290">
        <w:rPr>
          <w:rFonts w:ascii="Arial" w:hAnsi="Arial" w:cs="Arial"/>
          <w:sz w:val="20"/>
          <w:szCs w:val="20"/>
        </w:rPr>
        <w:t xml:space="preserve">members </w:t>
      </w:r>
      <w:r w:rsidR="00991C4F">
        <w:rPr>
          <w:rFonts w:ascii="Arial" w:hAnsi="Arial" w:cs="Arial"/>
          <w:sz w:val="20"/>
          <w:szCs w:val="20"/>
        </w:rPr>
        <w:t>and Directors</w:t>
      </w:r>
      <w:r w:rsidR="00E2597F" w:rsidRPr="00FE5290">
        <w:rPr>
          <w:rFonts w:ascii="Arial" w:hAnsi="Arial" w:cs="Arial"/>
          <w:sz w:val="20"/>
          <w:szCs w:val="20"/>
        </w:rPr>
        <w:t xml:space="preserve">, but also senior managers responsible for the independent risk management function, the compliance </w:t>
      </w:r>
      <w:proofErr w:type="gramStart"/>
      <w:r w:rsidR="00E2597F" w:rsidRPr="00FE5290">
        <w:rPr>
          <w:rFonts w:ascii="Arial" w:hAnsi="Arial" w:cs="Arial"/>
          <w:sz w:val="20"/>
          <w:szCs w:val="20"/>
        </w:rPr>
        <w:t>function</w:t>
      </w:r>
      <w:proofErr w:type="gramEnd"/>
      <w:r w:rsidR="00E2597F" w:rsidRPr="00FE5290">
        <w:rPr>
          <w:rFonts w:ascii="Arial" w:hAnsi="Arial" w:cs="Arial"/>
          <w:sz w:val="20"/>
          <w:szCs w:val="20"/>
        </w:rPr>
        <w:t xml:space="preserve"> or the internal audit function of a bank. </w:t>
      </w:r>
    </w:p>
    <w:p w14:paraId="0FD99DAB" w14:textId="47CC7FB0" w:rsidR="00C927F1" w:rsidRPr="00FE5290" w:rsidRDefault="00F20AD1">
      <w:pPr>
        <w:rPr>
          <w:rFonts w:ascii="Arial" w:hAnsi="Arial" w:cs="Arial"/>
          <w:sz w:val="20"/>
          <w:szCs w:val="20"/>
        </w:rPr>
      </w:pPr>
      <w:r w:rsidRPr="00DA2A4E">
        <w:rPr>
          <w:rFonts w:ascii="Arial" w:hAnsi="Arial" w:cs="Arial"/>
          <w:sz w:val="20"/>
          <w:szCs w:val="20"/>
        </w:rPr>
        <w:t xml:space="preserve">Apart from the </w:t>
      </w:r>
      <w:r w:rsidR="007B0AA2" w:rsidRPr="00DA2A4E">
        <w:rPr>
          <w:rFonts w:ascii="Arial" w:hAnsi="Arial" w:cs="Arial"/>
          <w:sz w:val="20"/>
          <w:szCs w:val="20"/>
        </w:rPr>
        <w:t xml:space="preserve">Supervisory </w:t>
      </w:r>
      <w:r w:rsidRPr="00DA2A4E">
        <w:rPr>
          <w:rFonts w:ascii="Arial" w:hAnsi="Arial" w:cs="Arial"/>
          <w:sz w:val="20"/>
          <w:szCs w:val="20"/>
        </w:rPr>
        <w:t xml:space="preserve">Board members </w:t>
      </w:r>
      <w:r w:rsidR="00A835DB" w:rsidRPr="00DA2A4E">
        <w:rPr>
          <w:rFonts w:ascii="Arial" w:hAnsi="Arial" w:cs="Arial"/>
          <w:sz w:val="20"/>
          <w:szCs w:val="20"/>
        </w:rPr>
        <w:t>a</w:t>
      </w:r>
      <w:r w:rsidR="00E2597F" w:rsidRPr="00DA2A4E">
        <w:rPr>
          <w:rFonts w:ascii="Arial" w:hAnsi="Arial" w:cs="Arial"/>
          <w:sz w:val="20"/>
          <w:szCs w:val="20"/>
        </w:rPr>
        <w:t xml:space="preserve"> </w:t>
      </w:r>
      <w:r w:rsidR="00E2597F" w:rsidRPr="00840A42">
        <w:rPr>
          <w:rFonts w:ascii="Arial" w:hAnsi="Arial" w:cs="Arial"/>
          <w:sz w:val="20"/>
          <w:szCs w:val="20"/>
        </w:rPr>
        <w:t xml:space="preserve">group </w:t>
      </w:r>
      <w:r w:rsidR="00670667" w:rsidRPr="00840A42">
        <w:rPr>
          <w:rFonts w:ascii="Arial" w:hAnsi="Arial" w:cs="Arial"/>
          <w:sz w:val="20"/>
          <w:szCs w:val="20"/>
        </w:rPr>
        <w:t xml:space="preserve">of </w:t>
      </w:r>
      <w:r w:rsidR="00840A42" w:rsidRPr="00840A42">
        <w:rPr>
          <w:rFonts w:ascii="Arial" w:hAnsi="Arial" w:cs="Arial"/>
          <w:sz w:val="20"/>
          <w:szCs w:val="20"/>
        </w:rPr>
        <w:t>29</w:t>
      </w:r>
      <w:r w:rsidRPr="00840A42">
        <w:rPr>
          <w:rFonts w:ascii="Arial" w:hAnsi="Arial" w:cs="Arial"/>
          <w:sz w:val="20"/>
          <w:szCs w:val="20"/>
        </w:rPr>
        <w:t xml:space="preserve"> employees</w:t>
      </w:r>
      <w:r w:rsidRPr="00DA2A4E">
        <w:rPr>
          <w:rFonts w:ascii="Arial" w:hAnsi="Arial" w:cs="Arial"/>
          <w:sz w:val="20"/>
          <w:szCs w:val="20"/>
        </w:rPr>
        <w:t xml:space="preserve"> of FMO (</w:t>
      </w:r>
      <w:r w:rsidR="00A26123" w:rsidRPr="00DA2A4E">
        <w:rPr>
          <w:rFonts w:ascii="Arial" w:hAnsi="Arial" w:cs="Arial"/>
          <w:sz w:val="20"/>
          <w:szCs w:val="20"/>
        </w:rPr>
        <w:t>December 31, 20</w:t>
      </w:r>
      <w:r w:rsidR="009400EC" w:rsidRPr="00DA2A4E">
        <w:rPr>
          <w:rFonts w:ascii="Arial" w:hAnsi="Arial" w:cs="Arial"/>
          <w:sz w:val="20"/>
          <w:szCs w:val="20"/>
        </w:rPr>
        <w:t>2</w:t>
      </w:r>
      <w:r w:rsidR="00D32E66">
        <w:rPr>
          <w:rFonts w:ascii="Arial" w:hAnsi="Arial" w:cs="Arial"/>
          <w:sz w:val="20"/>
          <w:szCs w:val="20"/>
        </w:rPr>
        <w:t>2</w:t>
      </w:r>
      <w:r w:rsidR="003E63D1" w:rsidRPr="00DA2A4E">
        <w:rPr>
          <w:rFonts w:ascii="Arial" w:hAnsi="Arial" w:cs="Arial"/>
          <w:sz w:val="20"/>
          <w:szCs w:val="20"/>
        </w:rPr>
        <w:t xml:space="preserve">) all with a </w:t>
      </w:r>
      <w:r w:rsidR="00110276" w:rsidRPr="00DA2A4E">
        <w:rPr>
          <w:rFonts w:ascii="Arial" w:hAnsi="Arial" w:cs="Arial"/>
          <w:sz w:val="20"/>
          <w:szCs w:val="20"/>
        </w:rPr>
        <w:t xml:space="preserve">(senior) </w:t>
      </w:r>
      <w:r w:rsidR="003E63D1" w:rsidRPr="00DA2A4E">
        <w:rPr>
          <w:rFonts w:ascii="Arial" w:hAnsi="Arial" w:cs="Arial"/>
          <w:sz w:val="20"/>
          <w:szCs w:val="20"/>
        </w:rPr>
        <w:t xml:space="preserve">management responsibility, </w:t>
      </w:r>
      <w:r w:rsidR="00670667" w:rsidRPr="00DA2A4E">
        <w:rPr>
          <w:rFonts w:ascii="Arial" w:hAnsi="Arial" w:cs="Arial"/>
          <w:sz w:val="20"/>
          <w:szCs w:val="20"/>
        </w:rPr>
        <w:t>are designated as ‘</w:t>
      </w:r>
      <w:r w:rsidR="00E2597F" w:rsidRPr="00DA2A4E">
        <w:rPr>
          <w:rFonts w:ascii="Arial" w:hAnsi="Arial" w:cs="Arial"/>
          <w:sz w:val="20"/>
          <w:szCs w:val="20"/>
        </w:rPr>
        <w:t>Identified Staff</w:t>
      </w:r>
      <w:r w:rsidR="00670667" w:rsidRPr="00DA2A4E">
        <w:rPr>
          <w:rFonts w:ascii="Arial" w:hAnsi="Arial" w:cs="Arial"/>
          <w:sz w:val="20"/>
          <w:szCs w:val="20"/>
        </w:rPr>
        <w:t>’</w:t>
      </w:r>
      <w:r w:rsidR="00E2597F" w:rsidRPr="00DA2A4E">
        <w:rPr>
          <w:rFonts w:ascii="Arial" w:hAnsi="Arial" w:cs="Arial"/>
          <w:sz w:val="20"/>
          <w:szCs w:val="20"/>
        </w:rPr>
        <w:t xml:space="preserve"> </w:t>
      </w:r>
      <w:r w:rsidR="00C927F1" w:rsidRPr="00DA2A4E">
        <w:rPr>
          <w:rFonts w:ascii="Arial" w:hAnsi="Arial" w:cs="Arial"/>
          <w:sz w:val="20"/>
          <w:szCs w:val="20"/>
        </w:rPr>
        <w:t>in accordance with</w:t>
      </w:r>
      <w:r w:rsidR="0039595D" w:rsidRPr="00DA2A4E">
        <w:rPr>
          <w:rFonts w:ascii="Arial" w:hAnsi="Arial" w:cs="Arial"/>
          <w:sz w:val="20"/>
          <w:szCs w:val="20"/>
        </w:rPr>
        <w:t xml:space="preserve"> </w:t>
      </w:r>
      <w:r w:rsidR="00C927F1" w:rsidRPr="00A5119F">
        <w:rPr>
          <w:rFonts w:ascii="Arial" w:hAnsi="Arial" w:cs="Arial"/>
          <w:sz w:val="20"/>
          <w:szCs w:val="20"/>
        </w:rPr>
        <w:t xml:space="preserve">the Regulations on Sound Remuneration </w:t>
      </w:r>
      <w:r w:rsidR="006C0E39" w:rsidRPr="00A5119F">
        <w:rPr>
          <w:rFonts w:ascii="Arial" w:hAnsi="Arial" w:cs="Arial"/>
          <w:sz w:val="20"/>
          <w:szCs w:val="20"/>
        </w:rPr>
        <w:t>(</w:t>
      </w:r>
      <w:proofErr w:type="spellStart"/>
      <w:r w:rsidR="006C0E39" w:rsidRPr="00A5119F">
        <w:rPr>
          <w:rFonts w:ascii="Arial" w:hAnsi="Arial" w:cs="Arial"/>
          <w:sz w:val="20"/>
          <w:szCs w:val="20"/>
        </w:rPr>
        <w:t>Wft</w:t>
      </w:r>
      <w:proofErr w:type="spellEnd"/>
      <w:r w:rsidR="006C0E39" w:rsidRPr="00A5119F">
        <w:rPr>
          <w:rFonts w:ascii="Arial" w:hAnsi="Arial" w:cs="Arial"/>
          <w:sz w:val="20"/>
          <w:szCs w:val="20"/>
        </w:rPr>
        <w:t xml:space="preserve"> 20</w:t>
      </w:r>
      <w:r w:rsidR="00015F24" w:rsidRPr="00A5119F">
        <w:rPr>
          <w:rFonts w:ascii="Arial" w:hAnsi="Arial" w:cs="Arial"/>
          <w:sz w:val="20"/>
          <w:szCs w:val="20"/>
        </w:rPr>
        <w:t>21</w:t>
      </w:r>
      <w:r w:rsidR="006C0E39" w:rsidRPr="00A5119F">
        <w:rPr>
          <w:rFonts w:ascii="Arial" w:hAnsi="Arial" w:cs="Arial"/>
          <w:sz w:val="20"/>
          <w:szCs w:val="20"/>
        </w:rPr>
        <w:t>, RBB 20</w:t>
      </w:r>
      <w:r w:rsidR="00015F24" w:rsidRPr="00A5119F">
        <w:rPr>
          <w:rFonts w:ascii="Arial" w:hAnsi="Arial" w:cs="Arial"/>
          <w:sz w:val="20"/>
          <w:szCs w:val="20"/>
        </w:rPr>
        <w:t>21</w:t>
      </w:r>
      <w:r w:rsidR="006C0E39" w:rsidRPr="00A5119F">
        <w:rPr>
          <w:rFonts w:ascii="Arial" w:hAnsi="Arial" w:cs="Arial"/>
          <w:sz w:val="20"/>
          <w:szCs w:val="20"/>
        </w:rPr>
        <w:t>)</w:t>
      </w:r>
      <w:r w:rsidR="00C927F1" w:rsidRPr="00A5119F">
        <w:rPr>
          <w:rFonts w:ascii="Arial" w:hAnsi="Arial" w:cs="Arial"/>
          <w:sz w:val="20"/>
          <w:szCs w:val="20"/>
        </w:rPr>
        <w:t xml:space="preserve"> in which the Dutch Central Bank </w:t>
      </w:r>
      <w:r w:rsidR="003328F3" w:rsidRPr="00A5119F">
        <w:rPr>
          <w:rFonts w:ascii="Arial" w:hAnsi="Arial" w:cs="Arial"/>
          <w:sz w:val="20"/>
          <w:szCs w:val="20"/>
        </w:rPr>
        <w:t xml:space="preserve">and AFM </w:t>
      </w:r>
      <w:r w:rsidR="00C927F1" w:rsidRPr="00A5119F">
        <w:rPr>
          <w:rFonts w:ascii="Arial" w:hAnsi="Arial" w:cs="Arial"/>
          <w:sz w:val="20"/>
          <w:szCs w:val="20"/>
        </w:rPr>
        <w:t>ha</w:t>
      </w:r>
      <w:r w:rsidR="00AB0286" w:rsidRPr="00A5119F">
        <w:rPr>
          <w:rFonts w:ascii="Arial" w:hAnsi="Arial" w:cs="Arial"/>
          <w:sz w:val="20"/>
          <w:szCs w:val="20"/>
        </w:rPr>
        <w:t xml:space="preserve">ve </w:t>
      </w:r>
      <w:r w:rsidR="00C927F1" w:rsidRPr="00A5119F">
        <w:rPr>
          <w:rFonts w:ascii="Arial" w:hAnsi="Arial" w:cs="Arial"/>
          <w:sz w:val="20"/>
          <w:szCs w:val="20"/>
        </w:rPr>
        <w:t>implemented the CRD V regulations with respect to sound remuneration policies for Dutch banks.</w:t>
      </w:r>
    </w:p>
    <w:p w14:paraId="2A826D3C" w14:textId="6EDE5749" w:rsidR="00FB59CE" w:rsidRPr="00FE5290" w:rsidRDefault="00C55796">
      <w:pPr>
        <w:rPr>
          <w:rFonts w:ascii="Arial" w:hAnsi="Arial" w:cs="Arial"/>
          <w:sz w:val="20"/>
          <w:szCs w:val="20"/>
        </w:rPr>
      </w:pPr>
      <w:r>
        <w:rPr>
          <w:rFonts w:ascii="Arial" w:hAnsi="Arial" w:cs="Arial"/>
          <w:sz w:val="20"/>
          <w:szCs w:val="20"/>
        </w:rPr>
        <w:t>Three</w:t>
      </w:r>
      <w:r w:rsidR="00C2362F" w:rsidRPr="00FE5290">
        <w:rPr>
          <w:rFonts w:ascii="Arial" w:hAnsi="Arial" w:cs="Arial"/>
          <w:sz w:val="20"/>
          <w:szCs w:val="20"/>
        </w:rPr>
        <w:t xml:space="preserve"> mem</w:t>
      </w:r>
      <w:r w:rsidR="00FB59CE" w:rsidRPr="00FE5290">
        <w:rPr>
          <w:rFonts w:ascii="Arial" w:hAnsi="Arial" w:cs="Arial"/>
          <w:sz w:val="20"/>
          <w:szCs w:val="20"/>
        </w:rPr>
        <w:t>bers of the Identified S</w:t>
      </w:r>
      <w:r w:rsidR="00C2362F" w:rsidRPr="00FE5290">
        <w:rPr>
          <w:rFonts w:ascii="Arial" w:hAnsi="Arial" w:cs="Arial"/>
          <w:sz w:val="20"/>
          <w:szCs w:val="20"/>
        </w:rPr>
        <w:t xml:space="preserve">taff are </w:t>
      </w:r>
      <w:r w:rsidR="00FB59CE" w:rsidRPr="00FE5290">
        <w:rPr>
          <w:rFonts w:ascii="Arial" w:hAnsi="Arial" w:cs="Arial"/>
          <w:sz w:val="20"/>
          <w:szCs w:val="20"/>
        </w:rPr>
        <w:t>involved in the management of FMO Investment Management B.V. (FIM), a fully owned subsidiary of FMO</w:t>
      </w:r>
      <w:r w:rsidR="009D2EA7">
        <w:rPr>
          <w:rFonts w:ascii="Arial" w:hAnsi="Arial" w:cs="Arial"/>
          <w:sz w:val="20"/>
          <w:szCs w:val="20"/>
        </w:rPr>
        <w:t xml:space="preserve"> and</w:t>
      </w:r>
      <w:r w:rsidR="00FB59CE" w:rsidRPr="00FE5290">
        <w:rPr>
          <w:rFonts w:ascii="Arial" w:hAnsi="Arial" w:cs="Arial"/>
          <w:sz w:val="20"/>
          <w:szCs w:val="20"/>
        </w:rPr>
        <w:t xml:space="preserve"> therefore they are incorporated in this report. </w:t>
      </w:r>
    </w:p>
    <w:p w14:paraId="5AF5E3D7" w14:textId="77777777" w:rsidR="00B467C8" w:rsidRPr="00FE5290" w:rsidRDefault="00556689" w:rsidP="00B467C8">
      <w:pPr>
        <w:pStyle w:val="NoSpacing"/>
        <w:rPr>
          <w:rFonts w:ascii="Arial" w:hAnsi="Arial" w:cs="Arial"/>
          <w:sz w:val="20"/>
          <w:szCs w:val="20"/>
        </w:rPr>
      </w:pPr>
      <w:r w:rsidRPr="00FE5290">
        <w:rPr>
          <w:rFonts w:ascii="Arial" w:hAnsi="Arial" w:cs="Arial"/>
          <w:sz w:val="20"/>
          <w:szCs w:val="20"/>
        </w:rPr>
        <w:t xml:space="preserve">This report addresses the following: </w:t>
      </w:r>
    </w:p>
    <w:p w14:paraId="6BE959B2" w14:textId="753903F2" w:rsidR="00B467C8" w:rsidRPr="00FE5290" w:rsidRDefault="00556689" w:rsidP="000E4401">
      <w:pPr>
        <w:pStyle w:val="NoSpacing"/>
        <w:numPr>
          <w:ilvl w:val="0"/>
          <w:numId w:val="6"/>
        </w:numPr>
        <w:ind w:left="567" w:hanging="567"/>
        <w:rPr>
          <w:rFonts w:ascii="Arial" w:hAnsi="Arial" w:cs="Arial"/>
          <w:sz w:val="20"/>
          <w:szCs w:val="20"/>
        </w:rPr>
      </w:pPr>
      <w:r w:rsidRPr="00FE5290">
        <w:rPr>
          <w:rFonts w:ascii="Arial" w:hAnsi="Arial" w:cs="Arial"/>
          <w:sz w:val="20"/>
          <w:szCs w:val="20"/>
        </w:rPr>
        <w:t>the governance regarding the remuneration policy and practice related to the</w:t>
      </w:r>
      <w:r w:rsidR="00B467C8" w:rsidRPr="00FE5290">
        <w:rPr>
          <w:rFonts w:ascii="Arial" w:hAnsi="Arial" w:cs="Arial"/>
          <w:sz w:val="20"/>
          <w:szCs w:val="20"/>
        </w:rPr>
        <w:t xml:space="preserve"> Identified Staff, </w:t>
      </w:r>
    </w:p>
    <w:p w14:paraId="1EE6D42D" w14:textId="6FF413FC" w:rsidR="00B467C8" w:rsidRPr="00FE5290" w:rsidRDefault="00556689" w:rsidP="000E4401">
      <w:pPr>
        <w:pStyle w:val="NoSpacing"/>
        <w:numPr>
          <w:ilvl w:val="0"/>
          <w:numId w:val="6"/>
        </w:numPr>
        <w:ind w:left="567" w:hanging="567"/>
        <w:rPr>
          <w:rFonts w:ascii="Arial" w:hAnsi="Arial" w:cs="Arial"/>
          <w:sz w:val="20"/>
          <w:szCs w:val="20"/>
        </w:rPr>
      </w:pPr>
      <w:r w:rsidRPr="00FE5290">
        <w:rPr>
          <w:rFonts w:ascii="Arial" w:hAnsi="Arial" w:cs="Arial"/>
          <w:sz w:val="20"/>
          <w:szCs w:val="20"/>
        </w:rPr>
        <w:t>the guidelines of the remuneration p</w:t>
      </w:r>
      <w:r w:rsidR="00B467C8" w:rsidRPr="00FE5290">
        <w:rPr>
          <w:rFonts w:ascii="Arial" w:hAnsi="Arial" w:cs="Arial"/>
          <w:sz w:val="20"/>
          <w:szCs w:val="20"/>
        </w:rPr>
        <w:t xml:space="preserve">olicy for Identified Staff and </w:t>
      </w:r>
    </w:p>
    <w:p w14:paraId="56BEF51A" w14:textId="4BDA161B" w:rsidR="00D8115F" w:rsidRDefault="00556689" w:rsidP="00D8115F">
      <w:pPr>
        <w:pStyle w:val="NoSpacing"/>
        <w:numPr>
          <w:ilvl w:val="0"/>
          <w:numId w:val="6"/>
        </w:numPr>
        <w:ind w:left="567" w:hanging="567"/>
        <w:rPr>
          <w:rFonts w:ascii="Arial" w:hAnsi="Arial" w:cs="Arial"/>
          <w:sz w:val="20"/>
          <w:szCs w:val="20"/>
        </w:rPr>
      </w:pPr>
      <w:r w:rsidRPr="00FE5290">
        <w:rPr>
          <w:rFonts w:ascii="Arial" w:hAnsi="Arial" w:cs="Arial"/>
          <w:sz w:val="20"/>
          <w:szCs w:val="20"/>
        </w:rPr>
        <w:t>the</w:t>
      </w:r>
      <w:r w:rsidR="006C0E39">
        <w:rPr>
          <w:rFonts w:ascii="Arial" w:hAnsi="Arial" w:cs="Arial"/>
          <w:sz w:val="20"/>
          <w:szCs w:val="20"/>
        </w:rPr>
        <w:t xml:space="preserve"> remuneration practice over 20</w:t>
      </w:r>
      <w:r w:rsidR="009400EC">
        <w:rPr>
          <w:rFonts w:ascii="Arial" w:hAnsi="Arial" w:cs="Arial"/>
          <w:sz w:val="20"/>
          <w:szCs w:val="20"/>
        </w:rPr>
        <w:t>2</w:t>
      </w:r>
      <w:r w:rsidR="00646F2A">
        <w:rPr>
          <w:rFonts w:ascii="Arial" w:hAnsi="Arial" w:cs="Arial"/>
          <w:sz w:val="20"/>
          <w:szCs w:val="20"/>
        </w:rPr>
        <w:t>2</w:t>
      </w:r>
      <w:r w:rsidRPr="00FE5290">
        <w:rPr>
          <w:rFonts w:ascii="Arial" w:hAnsi="Arial" w:cs="Arial"/>
          <w:sz w:val="20"/>
          <w:szCs w:val="20"/>
        </w:rPr>
        <w:t xml:space="preserve"> regarding the Identified Staff. </w:t>
      </w:r>
    </w:p>
    <w:p w14:paraId="6617DB20" w14:textId="39D0C9E6" w:rsidR="00D8115F" w:rsidRDefault="00D8115F" w:rsidP="00D8115F">
      <w:pPr>
        <w:pStyle w:val="NoSpacing"/>
        <w:ind w:left="567"/>
        <w:rPr>
          <w:rFonts w:ascii="Arial" w:hAnsi="Arial" w:cs="Arial"/>
          <w:sz w:val="20"/>
          <w:szCs w:val="20"/>
        </w:rPr>
      </w:pPr>
    </w:p>
    <w:p w14:paraId="19DE4B9B" w14:textId="77777777" w:rsidR="00247645" w:rsidRPr="00D8115F" w:rsidRDefault="00247645" w:rsidP="00D8115F">
      <w:pPr>
        <w:pStyle w:val="NoSpacing"/>
        <w:ind w:left="567"/>
        <w:rPr>
          <w:rFonts w:ascii="Arial" w:hAnsi="Arial" w:cs="Arial"/>
          <w:sz w:val="20"/>
          <w:szCs w:val="20"/>
        </w:rPr>
      </w:pPr>
    </w:p>
    <w:p w14:paraId="5D591F9A" w14:textId="77777777" w:rsidR="00F460DE" w:rsidRPr="00FE5290" w:rsidRDefault="00F460DE" w:rsidP="000E4401">
      <w:pPr>
        <w:pStyle w:val="ListParagraph"/>
        <w:numPr>
          <w:ilvl w:val="0"/>
          <w:numId w:val="2"/>
        </w:numPr>
        <w:ind w:left="567" w:hanging="567"/>
        <w:rPr>
          <w:rFonts w:ascii="Arial" w:hAnsi="Arial" w:cs="Arial"/>
          <w:b/>
          <w:sz w:val="20"/>
          <w:szCs w:val="20"/>
        </w:rPr>
      </w:pPr>
      <w:r w:rsidRPr="00FE5290">
        <w:rPr>
          <w:rFonts w:ascii="Arial" w:hAnsi="Arial" w:cs="Arial"/>
          <w:b/>
          <w:sz w:val="20"/>
          <w:szCs w:val="20"/>
        </w:rPr>
        <w:t>Governance with respect to Remuneration Policy</w:t>
      </w:r>
    </w:p>
    <w:p w14:paraId="3F1E3A87" w14:textId="77777777" w:rsidR="00F460DE" w:rsidRPr="00FE5290" w:rsidRDefault="00AF741B">
      <w:pPr>
        <w:rPr>
          <w:rFonts w:ascii="Arial" w:hAnsi="Arial" w:cs="Arial"/>
          <w:i/>
          <w:sz w:val="20"/>
          <w:szCs w:val="20"/>
        </w:rPr>
      </w:pPr>
      <w:r w:rsidRPr="00FE5290">
        <w:rPr>
          <w:rFonts w:ascii="Arial" w:hAnsi="Arial" w:cs="Arial"/>
          <w:i/>
          <w:sz w:val="20"/>
          <w:szCs w:val="20"/>
        </w:rPr>
        <w:t xml:space="preserve">The mandate and composition of the </w:t>
      </w:r>
      <w:r w:rsidR="00ED1B0B" w:rsidRPr="00FE5290">
        <w:rPr>
          <w:rFonts w:ascii="Arial" w:hAnsi="Arial" w:cs="Arial"/>
          <w:i/>
          <w:sz w:val="20"/>
          <w:szCs w:val="20"/>
        </w:rPr>
        <w:t>Selection Appointment and Remuneration Committee (SARC)</w:t>
      </w:r>
    </w:p>
    <w:p w14:paraId="05B80FE2" w14:textId="124ECCCB" w:rsidR="00ED1B0B" w:rsidRPr="00FE5290" w:rsidRDefault="00D900ED">
      <w:pPr>
        <w:rPr>
          <w:rFonts w:ascii="Arial" w:hAnsi="Arial" w:cs="Arial"/>
          <w:sz w:val="20"/>
          <w:szCs w:val="20"/>
        </w:rPr>
      </w:pPr>
      <w:r w:rsidRPr="00FE5290">
        <w:rPr>
          <w:rFonts w:ascii="Arial" w:hAnsi="Arial" w:cs="Arial"/>
          <w:sz w:val="20"/>
          <w:szCs w:val="20"/>
        </w:rPr>
        <w:t>The SARC advis</w:t>
      </w:r>
      <w:r w:rsidR="00ED1B0B" w:rsidRPr="00FE5290">
        <w:rPr>
          <w:rFonts w:ascii="Arial" w:hAnsi="Arial" w:cs="Arial"/>
          <w:sz w:val="20"/>
          <w:szCs w:val="20"/>
        </w:rPr>
        <w:t xml:space="preserve">es the Supervisory Board on its decision-making in relation to the composition and appointment and re-appointment to, the Supervisory Board and the Management Board of FMO. As part of talent management, the SARC also addresses the subject of staff diversity (age, </w:t>
      </w:r>
      <w:proofErr w:type="gramStart"/>
      <w:r w:rsidR="00ED1B0B" w:rsidRPr="00FE5290">
        <w:rPr>
          <w:rFonts w:ascii="Arial" w:hAnsi="Arial" w:cs="Arial"/>
          <w:sz w:val="20"/>
          <w:szCs w:val="20"/>
        </w:rPr>
        <w:t>gender</w:t>
      </w:r>
      <w:proofErr w:type="gramEnd"/>
      <w:r w:rsidR="00ED1B0B" w:rsidRPr="00FE5290">
        <w:rPr>
          <w:rFonts w:ascii="Arial" w:hAnsi="Arial" w:cs="Arial"/>
          <w:sz w:val="20"/>
          <w:szCs w:val="20"/>
        </w:rPr>
        <w:t xml:space="preserve"> and cultural background) in management positions as well as with respect to the entire staff population.</w:t>
      </w:r>
    </w:p>
    <w:p w14:paraId="0146057B" w14:textId="23C12B43" w:rsidR="00ED1B0B" w:rsidRPr="00FE5290" w:rsidRDefault="0050406B">
      <w:pPr>
        <w:rPr>
          <w:rFonts w:ascii="Arial" w:hAnsi="Arial" w:cs="Arial"/>
          <w:sz w:val="20"/>
          <w:szCs w:val="20"/>
        </w:rPr>
      </w:pPr>
      <w:r w:rsidRPr="00FE5290">
        <w:rPr>
          <w:rFonts w:ascii="Arial" w:hAnsi="Arial" w:cs="Arial"/>
          <w:sz w:val="20"/>
          <w:szCs w:val="20"/>
        </w:rPr>
        <w:t>Furthermore,</w:t>
      </w:r>
      <w:r w:rsidR="00614867" w:rsidRPr="00FE5290">
        <w:rPr>
          <w:rFonts w:ascii="Arial" w:hAnsi="Arial" w:cs="Arial"/>
          <w:sz w:val="20"/>
          <w:szCs w:val="20"/>
        </w:rPr>
        <w:t xml:space="preserve"> the </w:t>
      </w:r>
      <w:r w:rsidR="00863ED2" w:rsidRPr="00FE5290">
        <w:rPr>
          <w:rFonts w:ascii="Arial" w:hAnsi="Arial" w:cs="Arial"/>
          <w:sz w:val="20"/>
          <w:szCs w:val="20"/>
        </w:rPr>
        <w:t>SARC</w:t>
      </w:r>
      <w:r w:rsidR="00614867" w:rsidRPr="00FE5290">
        <w:rPr>
          <w:rFonts w:ascii="Arial" w:hAnsi="Arial" w:cs="Arial"/>
          <w:sz w:val="20"/>
          <w:szCs w:val="20"/>
        </w:rPr>
        <w:t xml:space="preserve"> helps the Supervisory Board to prepare for its decision-making in relation to the remuneration of the members of the Management Board, and keeps oversight on the </w:t>
      </w:r>
      <w:r w:rsidR="00863ED2" w:rsidRPr="00FE5290">
        <w:rPr>
          <w:rFonts w:ascii="Arial" w:hAnsi="Arial" w:cs="Arial"/>
          <w:sz w:val="20"/>
          <w:szCs w:val="20"/>
        </w:rPr>
        <w:t xml:space="preserve">consistency, </w:t>
      </w:r>
      <w:proofErr w:type="gramStart"/>
      <w:r w:rsidR="00614867" w:rsidRPr="00FE5290">
        <w:rPr>
          <w:rFonts w:ascii="Arial" w:hAnsi="Arial" w:cs="Arial"/>
          <w:sz w:val="20"/>
          <w:szCs w:val="20"/>
        </w:rPr>
        <w:t>guidelines</w:t>
      </w:r>
      <w:proofErr w:type="gramEnd"/>
      <w:r w:rsidR="00614867" w:rsidRPr="00FE5290">
        <w:rPr>
          <w:rFonts w:ascii="Arial" w:hAnsi="Arial" w:cs="Arial"/>
          <w:sz w:val="20"/>
          <w:szCs w:val="20"/>
        </w:rPr>
        <w:t xml:space="preserve"> and policies regarding the staff remuneration in general. The committee also reviews on </w:t>
      </w:r>
      <w:r w:rsidRPr="00FE5290">
        <w:rPr>
          <w:rFonts w:ascii="Arial" w:hAnsi="Arial" w:cs="Arial"/>
          <w:sz w:val="20"/>
          <w:szCs w:val="20"/>
        </w:rPr>
        <w:t>a regular basis</w:t>
      </w:r>
      <w:r w:rsidR="00614867" w:rsidRPr="00FE5290">
        <w:rPr>
          <w:rFonts w:ascii="Arial" w:hAnsi="Arial" w:cs="Arial"/>
          <w:sz w:val="20"/>
          <w:szCs w:val="20"/>
        </w:rPr>
        <w:t xml:space="preserve"> </w:t>
      </w:r>
      <w:r w:rsidR="00284B7E" w:rsidRPr="00FE5290">
        <w:rPr>
          <w:rFonts w:ascii="Arial" w:hAnsi="Arial" w:cs="Arial"/>
          <w:sz w:val="20"/>
          <w:szCs w:val="20"/>
        </w:rPr>
        <w:t xml:space="preserve">(normally once every three years) </w:t>
      </w:r>
      <w:r w:rsidR="00614867" w:rsidRPr="00FE5290">
        <w:rPr>
          <w:rFonts w:ascii="Arial" w:hAnsi="Arial" w:cs="Arial"/>
          <w:sz w:val="20"/>
          <w:szCs w:val="20"/>
        </w:rPr>
        <w:t>remuneration poli</w:t>
      </w:r>
      <w:r w:rsidR="00AF741B" w:rsidRPr="00FE5290">
        <w:rPr>
          <w:rFonts w:ascii="Arial" w:hAnsi="Arial" w:cs="Arial"/>
          <w:sz w:val="20"/>
          <w:szCs w:val="20"/>
        </w:rPr>
        <w:t>cies pursued in the external market and advises the Supervisory Board on how to apply the guidelines for remuneration policy in the banking sector.</w:t>
      </w:r>
    </w:p>
    <w:p w14:paraId="764CF1E2" w14:textId="212FC73E" w:rsidR="00543243" w:rsidRPr="00FE5290" w:rsidRDefault="00543243">
      <w:pPr>
        <w:rPr>
          <w:rFonts w:ascii="Arial" w:hAnsi="Arial" w:cs="Arial"/>
          <w:sz w:val="20"/>
          <w:szCs w:val="20"/>
        </w:rPr>
      </w:pPr>
      <w:r w:rsidRPr="00FE5290">
        <w:rPr>
          <w:rFonts w:ascii="Arial" w:hAnsi="Arial" w:cs="Arial"/>
          <w:sz w:val="20"/>
          <w:szCs w:val="20"/>
        </w:rPr>
        <w:t xml:space="preserve">The General </w:t>
      </w:r>
      <w:r w:rsidR="00D900ED" w:rsidRPr="00FE5290">
        <w:rPr>
          <w:rFonts w:ascii="Arial" w:hAnsi="Arial" w:cs="Arial"/>
          <w:sz w:val="20"/>
          <w:szCs w:val="20"/>
        </w:rPr>
        <w:t>Meeting of shareholders</w:t>
      </w:r>
      <w:r w:rsidR="005F65F7" w:rsidRPr="00FE5290">
        <w:rPr>
          <w:rFonts w:ascii="Arial" w:hAnsi="Arial" w:cs="Arial"/>
          <w:sz w:val="20"/>
          <w:szCs w:val="20"/>
        </w:rPr>
        <w:t xml:space="preserve"> (</w:t>
      </w:r>
      <w:r w:rsidRPr="00FE5290">
        <w:rPr>
          <w:rFonts w:ascii="Arial" w:hAnsi="Arial" w:cs="Arial"/>
          <w:sz w:val="20"/>
          <w:szCs w:val="20"/>
        </w:rPr>
        <w:t>GM) will approve the remuneration policy of the Management Board and the Supervisory Board and its adjustments. The Supervisory Board is responsible for the implementation on this policy and for the approval of the general remuneration guidelines of FMO and the remuneration policy re</w:t>
      </w:r>
      <w:r w:rsidR="00737E83" w:rsidRPr="00FE5290">
        <w:rPr>
          <w:rFonts w:ascii="Arial" w:hAnsi="Arial" w:cs="Arial"/>
          <w:sz w:val="20"/>
          <w:szCs w:val="20"/>
        </w:rPr>
        <w:t>garding the Identified staff mem</w:t>
      </w:r>
      <w:r w:rsidRPr="00FE5290">
        <w:rPr>
          <w:rFonts w:ascii="Arial" w:hAnsi="Arial" w:cs="Arial"/>
          <w:sz w:val="20"/>
          <w:szCs w:val="20"/>
        </w:rPr>
        <w:t>bers.</w:t>
      </w:r>
    </w:p>
    <w:p w14:paraId="00E85FC5" w14:textId="77777777" w:rsidR="00737E83" w:rsidRPr="00FE5290" w:rsidRDefault="00737E83">
      <w:pPr>
        <w:rPr>
          <w:rFonts w:ascii="Arial" w:hAnsi="Arial" w:cs="Arial"/>
          <w:sz w:val="20"/>
          <w:szCs w:val="20"/>
        </w:rPr>
      </w:pPr>
      <w:r w:rsidRPr="00FE5290">
        <w:rPr>
          <w:rFonts w:ascii="Arial" w:hAnsi="Arial" w:cs="Arial"/>
          <w:sz w:val="20"/>
          <w:szCs w:val="20"/>
        </w:rPr>
        <w:t xml:space="preserve">The Supervisory Board will report annually </w:t>
      </w:r>
      <w:r w:rsidR="00863ED2" w:rsidRPr="00FE5290">
        <w:rPr>
          <w:rFonts w:ascii="Arial" w:hAnsi="Arial" w:cs="Arial"/>
          <w:sz w:val="20"/>
          <w:szCs w:val="20"/>
        </w:rPr>
        <w:t xml:space="preserve">in the Annual Report </w:t>
      </w:r>
      <w:r w:rsidRPr="00FE5290">
        <w:rPr>
          <w:rFonts w:ascii="Arial" w:hAnsi="Arial" w:cs="Arial"/>
          <w:sz w:val="20"/>
          <w:szCs w:val="20"/>
        </w:rPr>
        <w:t xml:space="preserve">about the remuneration policies regarding the Management Board and Identified Staff and about the remuneration practice. </w:t>
      </w:r>
    </w:p>
    <w:p w14:paraId="6DAEC089" w14:textId="77777777" w:rsidR="00AF741B" w:rsidRPr="00FE5290" w:rsidRDefault="00AF741B">
      <w:pPr>
        <w:rPr>
          <w:rFonts w:ascii="Arial" w:hAnsi="Arial" w:cs="Arial"/>
          <w:sz w:val="20"/>
          <w:szCs w:val="20"/>
        </w:rPr>
      </w:pPr>
      <w:r w:rsidRPr="00FE5290">
        <w:rPr>
          <w:rFonts w:ascii="Arial" w:hAnsi="Arial" w:cs="Arial"/>
          <w:sz w:val="20"/>
          <w:szCs w:val="20"/>
        </w:rPr>
        <w:t xml:space="preserve">More information about the </w:t>
      </w:r>
      <w:r w:rsidR="00863ED2" w:rsidRPr="00FE5290">
        <w:rPr>
          <w:rFonts w:ascii="Arial" w:hAnsi="Arial" w:cs="Arial"/>
          <w:sz w:val="20"/>
          <w:szCs w:val="20"/>
        </w:rPr>
        <w:t xml:space="preserve">responsibility of the </w:t>
      </w:r>
      <w:r w:rsidRPr="00FE5290">
        <w:rPr>
          <w:rFonts w:ascii="Arial" w:hAnsi="Arial" w:cs="Arial"/>
          <w:sz w:val="20"/>
          <w:szCs w:val="20"/>
        </w:rPr>
        <w:t>SARC can be found on the website of FMO (</w:t>
      </w:r>
      <w:hyperlink r:id="rId11" w:history="1">
        <w:r w:rsidRPr="00FE5290">
          <w:rPr>
            <w:rStyle w:val="Hyperlink"/>
            <w:rFonts w:ascii="Arial" w:hAnsi="Arial" w:cs="Arial"/>
            <w:color w:val="auto"/>
            <w:sz w:val="20"/>
            <w:szCs w:val="20"/>
          </w:rPr>
          <w:t>www.FMO.nl</w:t>
        </w:r>
      </w:hyperlink>
      <w:r w:rsidR="00A835DB" w:rsidRPr="00FE5290">
        <w:rPr>
          <w:rFonts w:ascii="Arial" w:hAnsi="Arial" w:cs="Arial"/>
          <w:sz w:val="20"/>
          <w:szCs w:val="20"/>
        </w:rPr>
        <w:t xml:space="preserve"> </w:t>
      </w:r>
      <w:r w:rsidRPr="00FE5290">
        <w:rPr>
          <w:rFonts w:ascii="Arial" w:hAnsi="Arial" w:cs="Arial"/>
          <w:sz w:val="20"/>
          <w:szCs w:val="20"/>
        </w:rPr>
        <w:t xml:space="preserve">Governance &amp; Policies/ Supervisory Board/ Standing rules of the SARC). </w:t>
      </w:r>
    </w:p>
    <w:p w14:paraId="6A086EF5" w14:textId="6DD6FC6E" w:rsidR="007D2442" w:rsidRPr="00673626" w:rsidRDefault="006C0E39" w:rsidP="00C36FE5">
      <w:pPr>
        <w:pStyle w:val="NoSpacing"/>
        <w:rPr>
          <w:rFonts w:ascii="Arial" w:hAnsi="Arial" w:cs="Arial"/>
          <w:sz w:val="20"/>
          <w:szCs w:val="20"/>
        </w:rPr>
      </w:pPr>
      <w:r>
        <w:rPr>
          <w:rFonts w:ascii="Arial" w:hAnsi="Arial" w:cs="Arial"/>
          <w:sz w:val="20"/>
          <w:szCs w:val="20"/>
        </w:rPr>
        <w:t>In 20</w:t>
      </w:r>
      <w:r w:rsidR="00CA1F70">
        <w:rPr>
          <w:rFonts w:ascii="Arial" w:hAnsi="Arial" w:cs="Arial"/>
          <w:sz w:val="20"/>
          <w:szCs w:val="20"/>
        </w:rPr>
        <w:t>2</w:t>
      </w:r>
      <w:r w:rsidR="00646F2A">
        <w:rPr>
          <w:rFonts w:ascii="Arial" w:hAnsi="Arial" w:cs="Arial"/>
          <w:sz w:val="20"/>
          <w:szCs w:val="20"/>
        </w:rPr>
        <w:t>2</w:t>
      </w:r>
      <w:r w:rsidR="00FE5290">
        <w:rPr>
          <w:rFonts w:ascii="Arial" w:hAnsi="Arial" w:cs="Arial"/>
          <w:sz w:val="20"/>
          <w:szCs w:val="20"/>
        </w:rPr>
        <w:t xml:space="preserve">, the </w:t>
      </w:r>
      <w:r w:rsidR="00AF741B" w:rsidRPr="00FE5290">
        <w:rPr>
          <w:rFonts w:ascii="Arial" w:hAnsi="Arial" w:cs="Arial"/>
          <w:sz w:val="20"/>
          <w:szCs w:val="20"/>
        </w:rPr>
        <w:t xml:space="preserve">SARC </w:t>
      </w:r>
      <w:r w:rsidR="003B74DF" w:rsidRPr="00FE5290">
        <w:rPr>
          <w:rFonts w:ascii="Arial" w:hAnsi="Arial" w:cs="Arial"/>
          <w:sz w:val="20"/>
          <w:szCs w:val="20"/>
        </w:rPr>
        <w:t>consist</w:t>
      </w:r>
      <w:r w:rsidR="00FE5290">
        <w:rPr>
          <w:rFonts w:ascii="Arial" w:hAnsi="Arial" w:cs="Arial"/>
          <w:sz w:val="20"/>
          <w:szCs w:val="20"/>
        </w:rPr>
        <w:t>ed</w:t>
      </w:r>
      <w:r w:rsidR="00AF741B" w:rsidRPr="00FE5290">
        <w:rPr>
          <w:rFonts w:ascii="Arial" w:hAnsi="Arial" w:cs="Arial"/>
          <w:sz w:val="20"/>
          <w:szCs w:val="20"/>
        </w:rPr>
        <w:t xml:space="preserve"> of the following members:</w:t>
      </w:r>
    </w:p>
    <w:p w14:paraId="57A53FF5" w14:textId="6D18F35C" w:rsidR="006B3995" w:rsidRPr="006B3995" w:rsidRDefault="003E5B91" w:rsidP="00247645">
      <w:pPr>
        <w:pStyle w:val="NoSpacing"/>
        <w:numPr>
          <w:ilvl w:val="0"/>
          <w:numId w:val="4"/>
        </w:numPr>
        <w:ind w:left="567" w:hanging="567"/>
        <w:rPr>
          <w:rFonts w:ascii="Arial" w:hAnsi="Arial" w:cs="Arial"/>
          <w:sz w:val="20"/>
          <w:szCs w:val="20"/>
          <w:lang w:val="nl-NL"/>
        </w:rPr>
      </w:pPr>
      <w:r w:rsidRPr="006B3995">
        <w:rPr>
          <w:rFonts w:ascii="Arial" w:hAnsi="Arial" w:cs="Arial"/>
          <w:sz w:val="20"/>
          <w:szCs w:val="20"/>
          <w:lang w:val="nl-NL"/>
        </w:rPr>
        <w:t>R.P.F. (Reintje) van Haeringen (</w:t>
      </w:r>
      <w:r w:rsidR="00247645">
        <w:rPr>
          <w:rFonts w:ascii="Arial" w:hAnsi="Arial" w:cs="Arial"/>
          <w:sz w:val="20"/>
          <w:szCs w:val="20"/>
          <w:lang w:val="nl-NL"/>
        </w:rPr>
        <w:t>C</w:t>
      </w:r>
      <w:r w:rsidRPr="006B3995">
        <w:rPr>
          <w:rFonts w:ascii="Arial" w:hAnsi="Arial" w:cs="Arial"/>
          <w:sz w:val="20"/>
          <w:szCs w:val="20"/>
          <w:lang w:val="nl-NL"/>
        </w:rPr>
        <w:t>hair</w:t>
      </w:r>
      <w:r w:rsidR="006B3995" w:rsidRPr="006B3995">
        <w:rPr>
          <w:rFonts w:ascii="Arial" w:hAnsi="Arial" w:cs="Arial"/>
          <w:sz w:val="20"/>
          <w:szCs w:val="20"/>
          <w:lang w:val="nl-NL"/>
        </w:rPr>
        <w:t>)</w:t>
      </w:r>
      <w:r w:rsidR="006B3995">
        <w:rPr>
          <w:rFonts w:ascii="Arial" w:hAnsi="Arial" w:cs="Arial"/>
          <w:sz w:val="20"/>
          <w:szCs w:val="20"/>
          <w:lang w:val="nl-NL"/>
        </w:rPr>
        <w:t>;</w:t>
      </w:r>
      <w:r w:rsidRPr="006B3995">
        <w:rPr>
          <w:rFonts w:ascii="Arial" w:hAnsi="Arial" w:cs="Arial"/>
          <w:sz w:val="20"/>
          <w:szCs w:val="20"/>
          <w:lang w:val="nl-NL"/>
        </w:rPr>
        <w:t xml:space="preserve"> </w:t>
      </w:r>
    </w:p>
    <w:p w14:paraId="462DF811" w14:textId="37BFFF48" w:rsidR="00C7143F" w:rsidRPr="006B3995" w:rsidRDefault="006C0E39" w:rsidP="00247645">
      <w:pPr>
        <w:pStyle w:val="NoSpacing"/>
        <w:numPr>
          <w:ilvl w:val="0"/>
          <w:numId w:val="4"/>
        </w:numPr>
        <w:ind w:left="567" w:hanging="567"/>
        <w:rPr>
          <w:rFonts w:ascii="Arial" w:hAnsi="Arial" w:cs="Arial"/>
          <w:sz w:val="20"/>
          <w:szCs w:val="20"/>
          <w:lang w:val="nl-NL"/>
        </w:rPr>
      </w:pPr>
      <w:r w:rsidRPr="006B3995">
        <w:rPr>
          <w:rFonts w:ascii="Arial" w:hAnsi="Arial" w:cs="Arial"/>
          <w:sz w:val="20"/>
          <w:szCs w:val="20"/>
          <w:lang w:val="nl-NL"/>
        </w:rPr>
        <w:t>D.J. (Dirk Jan) van den Berg (</w:t>
      </w:r>
      <w:r w:rsidR="006B3995" w:rsidRPr="006B3995">
        <w:rPr>
          <w:rFonts w:ascii="Arial" w:hAnsi="Arial" w:cs="Arial"/>
          <w:sz w:val="20"/>
          <w:szCs w:val="20"/>
          <w:lang w:val="nl-NL"/>
        </w:rPr>
        <w:t>member)</w:t>
      </w:r>
      <w:r w:rsidR="006B3995">
        <w:rPr>
          <w:rFonts w:ascii="Arial" w:hAnsi="Arial" w:cs="Arial"/>
          <w:sz w:val="20"/>
          <w:szCs w:val="20"/>
          <w:lang w:val="nl-NL"/>
        </w:rPr>
        <w:t>;</w:t>
      </w:r>
    </w:p>
    <w:p w14:paraId="6E9171FC" w14:textId="6A391F43" w:rsidR="00D36B49" w:rsidRPr="004A23A9" w:rsidRDefault="003C5A6A" w:rsidP="00247645">
      <w:pPr>
        <w:pStyle w:val="NoSpacing"/>
        <w:numPr>
          <w:ilvl w:val="0"/>
          <w:numId w:val="4"/>
        </w:numPr>
        <w:ind w:left="567" w:hanging="567"/>
        <w:rPr>
          <w:rFonts w:ascii="Arial" w:hAnsi="Arial" w:cs="Arial"/>
          <w:sz w:val="20"/>
          <w:szCs w:val="20"/>
        </w:rPr>
      </w:pPr>
      <w:r>
        <w:rPr>
          <w:rFonts w:ascii="Arial" w:hAnsi="Arial" w:cs="Arial"/>
          <w:sz w:val="20"/>
          <w:szCs w:val="20"/>
        </w:rPr>
        <w:t>M. (M</w:t>
      </w:r>
      <w:r w:rsidR="00AD594E">
        <w:rPr>
          <w:rFonts w:ascii="Arial" w:hAnsi="Arial" w:cs="Arial"/>
          <w:sz w:val="20"/>
          <w:szCs w:val="20"/>
        </w:rPr>
        <w:t>arjolein</w:t>
      </w:r>
      <w:r>
        <w:rPr>
          <w:rFonts w:ascii="Arial" w:hAnsi="Arial" w:cs="Arial"/>
          <w:sz w:val="20"/>
          <w:szCs w:val="20"/>
        </w:rPr>
        <w:t xml:space="preserve">) Demmers </w:t>
      </w:r>
      <w:r w:rsidRPr="00621143">
        <w:rPr>
          <w:rFonts w:ascii="Arial" w:hAnsi="Arial" w:cs="Arial"/>
          <w:sz w:val="20"/>
          <w:szCs w:val="20"/>
        </w:rPr>
        <w:t>(</w:t>
      </w:r>
      <w:r>
        <w:rPr>
          <w:rFonts w:ascii="Arial" w:hAnsi="Arial" w:cs="Arial"/>
          <w:sz w:val="20"/>
          <w:szCs w:val="20"/>
        </w:rPr>
        <w:t>member</w:t>
      </w:r>
      <w:r w:rsidRPr="00621143">
        <w:rPr>
          <w:rFonts w:ascii="Arial" w:hAnsi="Arial" w:cs="Arial"/>
          <w:sz w:val="20"/>
          <w:szCs w:val="20"/>
        </w:rPr>
        <w:t>)</w:t>
      </w:r>
      <w:r w:rsidR="00291022">
        <w:rPr>
          <w:rFonts w:ascii="Arial" w:hAnsi="Arial" w:cs="Arial"/>
          <w:sz w:val="20"/>
          <w:szCs w:val="20"/>
        </w:rPr>
        <w:t>.</w:t>
      </w:r>
    </w:p>
    <w:p w14:paraId="7C40F98C" w14:textId="77777777" w:rsidR="00625B7F" w:rsidRPr="0021297D" w:rsidRDefault="00625B7F" w:rsidP="00247645">
      <w:pPr>
        <w:pStyle w:val="NoSpacing"/>
        <w:ind w:left="567" w:hanging="567"/>
        <w:rPr>
          <w:rFonts w:ascii="Arial" w:hAnsi="Arial" w:cs="Arial"/>
          <w:sz w:val="20"/>
          <w:szCs w:val="20"/>
        </w:rPr>
      </w:pPr>
    </w:p>
    <w:p w14:paraId="09049F52" w14:textId="77777777" w:rsidR="0007539E" w:rsidRDefault="0007539E" w:rsidP="000E4401">
      <w:pPr>
        <w:pStyle w:val="NoSpacing"/>
        <w:rPr>
          <w:rFonts w:ascii="Arial" w:hAnsi="Arial" w:cs="Arial"/>
          <w:i/>
          <w:sz w:val="20"/>
          <w:szCs w:val="20"/>
        </w:rPr>
      </w:pPr>
    </w:p>
    <w:p w14:paraId="48920CCD" w14:textId="69269A91" w:rsidR="0039595D" w:rsidRPr="00FE5290" w:rsidRDefault="00F460DE" w:rsidP="000E4401">
      <w:pPr>
        <w:pStyle w:val="NoSpacing"/>
        <w:rPr>
          <w:rFonts w:ascii="Arial" w:hAnsi="Arial" w:cs="Arial"/>
          <w:i/>
          <w:sz w:val="20"/>
          <w:szCs w:val="20"/>
        </w:rPr>
      </w:pPr>
      <w:r w:rsidRPr="00FE5290">
        <w:rPr>
          <w:rFonts w:ascii="Arial" w:hAnsi="Arial" w:cs="Arial"/>
          <w:i/>
          <w:sz w:val="20"/>
          <w:szCs w:val="20"/>
        </w:rPr>
        <w:t>Meetings</w:t>
      </w:r>
      <w:r w:rsidR="006C0E39">
        <w:rPr>
          <w:rFonts w:ascii="Arial" w:hAnsi="Arial" w:cs="Arial"/>
          <w:i/>
          <w:sz w:val="20"/>
          <w:szCs w:val="20"/>
        </w:rPr>
        <w:t xml:space="preserve"> SARC in </w:t>
      </w:r>
      <w:r w:rsidR="00796C6A">
        <w:rPr>
          <w:rFonts w:ascii="Arial" w:hAnsi="Arial" w:cs="Arial"/>
          <w:i/>
          <w:sz w:val="20"/>
          <w:szCs w:val="20"/>
        </w:rPr>
        <w:t>202</w:t>
      </w:r>
      <w:r w:rsidR="0007539E">
        <w:rPr>
          <w:rFonts w:ascii="Arial" w:hAnsi="Arial" w:cs="Arial"/>
          <w:i/>
          <w:sz w:val="20"/>
          <w:szCs w:val="20"/>
        </w:rPr>
        <w:t>2</w:t>
      </w:r>
    </w:p>
    <w:p w14:paraId="7B800373" w14:textId="703204CF" w:rsidR="009E04EF" w:rsidRDefault="009E04EF" w:rsidP="006E06BE">
      <w:pPr>
        <w:rPr>
          <w:rFonts w:ascii="Arial" w:hAnsi="Arial" w:cs="Arial"/>
          <w:sz w:val="20"/>
          <w:szCs w:val="20"/>
        </w:rPr>
      </w:pPr>
      <w:r w:rsidRPr="00FE5290">
        <w:rPr>
          <w:rFonts w:ascii="Arial" w:hAnsi="Arial" w:cs="Arial"/>
          <w:sz w:val="20"/>
          <w:szCs w:val="20"/>
        </w:rPr>
        <w:t>The Supervisory Board appoints Management Board members</w:t>
      </w:r>
      <w:r w:rsidR="00025300" w:rsidRPr="00FE5290">
        <w:rPr>
          <w:rFonts w:ascii="Arial" w:hAnsi="Arial" w:cs="Arial"/>
          <w:sz w:val="20"/>
          <w:szCs w:val="20"/>
        </w:rPr>
        <w:t>, approves</w:t>
      </w:r>
      <w:r w:rsidRPr="00FE5290">
        <w:rPr>
          <w:rFonts w:ascii="Arial" w:hAnsi="Arial" w:cs="Arial"/>
          <w:sz w:val="20"/>
          <w:szCs w:val="20"/>
        </w:rPr>
        <w:t xml:space="preserve"> annual </w:t>
      </w:r>
      <w:r w:rsidR="00025300" w:rsidRPr="00FE5290">
        <w:rPr>
          <w:rFonts w:ascii="Arial" w:hAnsi="Arial" w:cs="Arial"/>
          <w:sz w:val="20"/>
          <w:szCs w:val="20"/>
        </w:rPr>
        <w:t xml:space="preserve">corporate </w:t>
      </w:r>
      <w:r w:rsidRPr="00FE5290">
        <w:rPr>
          <w:rFonts w:ascii="Arial" w:hAnsi="Arial" w:cs="Arial"/>
          <w:sz w:val="20"/>
          <w:szCs w:val="20"/>
        </w:rPr>
        <w:t>targets</w:t>
      </w:r>
      <w:r w:rsidR="00025300" w:rsidRPr="00FE5290">
        <w:rPr>
          <w:rFonts w:ascii="Arial" w:hAnsi="Arial" w:cs="Arial"/>
          <w:sz w:val="20"/>
          <w:szCs w:val="20"/>
        </w:rPr>
        <w:t xml:space="preserve"> as well as the annual (cost) budgets,</w:t>
      </w:r>
      <w:r w:rsidRPr="00FE5290">
        <w:rPr>
          <w:rFonts w:ascii="Arial" w:hAnsi="Arial" w:cs="Arial"/>
          <w:sz w:val="20"/>
          <w:szCs w:val="20"/>
        </w:rPr>
        <w:t xml:space="preserve"> </w:t>
      </w:r>
      <w:r w:rsidR="00025300" w:rsidRPr="00FE5290">
        <w:rPr>
          <w:rFonts w:ascii="Arial" w:hAnsi="Arial" w:cs="Arial"/>
          <w:sz w:val="20"/>
          <w:szCs w:val="20"/>
        </w:rPr>
        <w:t xml:space="preserve">and </w:t>
      </w:r>
      <w:r w:rsidRPr="00FE5290">
        <w:rPr>
          <w:rFonts w:ascii="Arial" w:hAnsi="Arial" w:cs="Arial"/>
          <w:sz w:val="20"/>
          <w:szCs w:val="20"/>
        </w:rPr>
        <w:t>evaluates the performance of the Management Board as a whole</w:t>
      </w:r>
      <w:r w:rsidR="000A7A94">
        <w:rPr>
          <w:rFonts w:ascii="Arial" w:hAnsi="Arial" w:cs="Arial"/>
          <w:sz w:val="20"/>
          <w:szCs w:val="20"/>
        </w:rPr>
        <w:t>,</w:t>
      </w:r>
      <w:r w:rsidRPr="00FE5290">
        <w:rPr>
          <w:rFonts w:ascii="Arial" w:hAnsi="Arial" w:cs="Arial"/>
          <w:sz w:val="20"/>
          <w:szCs w:val="20"/>
        </w:rPr>
        <w:t xml:space="preserve"> as well as the performance of the individual members. A proactive role was played by the SARC. </w:t>
      </w:r>
      <w:r w:rsidRPr="00B64977">
        <w:rPr>
          <w:rFonts w:ascii="Arial" w:hAnsi="Arial" w:cs="Arial"/>
          <w:sz w:val="20"/>
          <w:szCs w:val="20"/>
        </w:rPr>
        <w:t xml:space="preserve">During the </w:t>
      </w:r>
      <w:r w:rsidR="00247645">
        <w:rPr>
          <w:rFonts w:ascii="Arial" w:hAnsi="Arial" w:cs="Arial"/>
          <w:sz w:val="20"/>
          <w:szCs w:val="20"/>
        </w:rPr>
        <w:t>three</w:t>
      </w:r>
      <w:r w:rsidR="00025300" w:rsidRPr="00200275">
        <w:rPr>
          <w:rFonts w:ascii="Arial" w:hAnsi="Arial" w:cs="Arial"/>
          <w:sz w:val="20"/>
          <w:szCs w:val="20"/>
        </w:rPr>
        <w:t xml:space="preserve"> formal </w:t>
      </w:r>
      <w:r w:rsidR="005A5D2E" w:rsidRPr="00200275">
        <w:rPr>
          <w:rFonts w:ascii="Arial" w:hAnsi="Arial" w:cs="Arial"/>
          <w:sz w:val="20"/>
          <w:szCs w:val="20"/>
        </w:rPr>
        <w:t xml:space="preserve">meetings </w:t>
      </w:r>
      <w:r w:rsidR="00025300" w:rsidRPr="00FE5290">
        <w:rPr>
          <w:rFonts w:ascii="Arial" w:hAnsi="Arial" w:cs="Arial"/>
          <w:sz w:val="20"/>
          <w:szCs w:val="20"/>
        </w:rPr>
        <w:t xml:space="preserve">held by the </w:t>
      </w:r>
      <w:r w:rsidR="001D0DC0">
        <w:rPr>
          <w:rFonts w:ascii="Arial" w:hAnsi="Arial" w:cs="Arial"/>
          <w:sz w:val="20"/>
          <w:szCs w:val="20"/>
        </w:rPr>
        <w:t>SARC in 20</w:t>
      </w:r>
      <w:r w:rsidR="00796C6A">
        <w:rPr>
          <w:rFonts w:ascii="Arial" w:hAnsi="Arial" w:cs="Arial"/>
          <w:sz w:val="20"/>
          <w:szCs w:val="20"/>
        </w:rPr>
        <w:t>2</w:t>
      </w:r>
      <w:r w:rsidR="0014692D">
        <w:rPr>
          <w:rFonts w:ascii="Arial" w:hAnsi="Arial" w:cs="Arial"/>
          <w:sz w:val="20"/>
          <w:szCs w:val="20"/>
        </w:rPr>
        <w:t>2</w:t>
      </w:r>
      <w:r w:rsidRPr="00FE5290">
        <w:rPr>
          <w:rFonts w:ascii="Arial" w:hAnsi="Arial" w:cs="Arial"/>
          <w:sz w:val="20"/>
          <w:szCs w:val="20"/>
        </w:rPr>
        <w:t xml:space="preserve">, </w:t>
      </w:r>
      <w:r w:rsidR="00FE5290">
        <w:rPr>
          <w:rFonts w:ascii="Arial" w:hAnsi="Arial" w:cs="Arial"/>
          <w:sz w:val="20"/>
          <w:szCs w:val="20"/>
        </w:rPr>
        <w:t xml:space="preserve">amongst others, </w:t>
      </w:r>
      <w:r w:rsidRPr="00FE5290">
        <w:rPr>
          <w:rFonts w:ascii="Arial" w:hAnsi="Arial" w:cs="Arial"/>
          <w:sz w:val="20"/>
          <w:szCs w:val="20"/>
        </w:rPr>
        <w:t xml:space="preserve">the following </w:t>
      </w:r>
      <w:r w:rsidR="005A5D2E" w:rsidRPr="00FE5290">
        <w:rPr>
          <w:rFonts w:ascii="Arial" w:hAnsi="Arial" w:cs="Arial"/>
          <w:sz w:val="20"/>
          <w:szCs w:val="20"/>
        </w:rPr>
        <w:t xml:space="preserve">important </w:t>
      </w:r>
      <w:r w:rsidRPr="00FE5290">
        <w:rPr>
          <w:rFonts w:ascii="Arial" w:hAnsi="Arial" w:cs="Arial"/>
          <w:sz w:val="20"/>
          <w:szCs w:val="20"/>
        </w:rPr>
        <w:t>topics were discussed:</w:t>
      </w:r>
      <w:r w:rsidR="00796C6A" w:rsidRPr="00796C6A">
        <w:rPr>
          <w:rFonts w:ascii="Arial" w:hAnsi="Arial" w:cs="Arial"/>
          <w:sz w:val="20"/>
          <w:szCs w:val="20"/>
          <w:lang w:val="en-US"/>
        </w:rPr>
        <w:t xml:space="preserve"> the profile and the search for t</w:t>
      </w:r>
      <w:r w:rsidR="00CF0ABF">
        <w:rPr>
          <w:rFonts w:ascii="Arial" w:hAnsi="Arial" w:cs="Arial"/>
          <w:sz w:val="20"/>
          <w:szCs w:val="20"/>
          <w:lang w:val="en-US"/>
        </w:rPr>
        <w:t xml:space="preserve">wo </w:t>
      </w:r>
      <w:r w:rsidR="00796C6A" w:rsidRPr="00796C6A">
        <w:rPr>
          <w:rFonts w:ascii="Arial" w:hAnsi="Arial" w:cs="Arial"/>
          <w:sz w:val="20"/>
          <w:szCs w:val="20"/>
          <w:lang w:val="en-US"/>
        </w:rPr>
        <w:t xml:space="preserve">new </w:t>
      </w:r>
      <w:r w:rsidR="00CF0ABF">
        <w:rPr>
          <w:rFonts w:ascii="Arial" w:hAnsi="Arial" w:cs="Arial"/>
          <w:sz w:val="20"/>
          <w:szCs w:val="20"/>
          <w:lang w:val="en-US"/>
        </w:rPr>
        <w:t xml:space="preserve">MB members </w:t>
      </w:r>
      <w:r w:rsidR="00CE4F34">
        <w:rPr>
          <w:rFonts w:ascii="Arial" w:hAnsi="Arial" w:cs="Arial"/>
          <w:sz w:val="20"/>
          <w:szCs w:val="20"/>
          <w:lang w:val="en-US"/>
        </w:rPr>
        <w:t>(</w:t>
      </w:r>
      <w:r w:rsidR="00CF0ABF">
        <w:rPr>
          <w:rFonts w:ascii="Arial" w:hAnsi="Arial" w:cs="Arial"/>
          <w:sz w:val="20"/>
          <w:szCs w:val="20"/>
          <w:lang w:val="en-US"/>
        </w:rPr>
        <w:t>CRO</w:t>
      </w:r>
      <w:r w:rsidR="009D5E83">
        <w:rPr>
          <w:rFonts w:ascii="Arial" w:hAnsi="Arial" w:cs="Arial"/>
          <w:sz w:val="20"/>
          <w:szCs w:val="20"/>
          <w:lang w:val="en-US"/>
        </w:rPr>
        <w:t>,</w:t>
      </w:r>
      <w:r w:rsidR="00CF0ABF">
        <w:rPr>
          <w:rFonts w:ascii="Arial" w:hAnsi="Arial" w:cs="Arial"/>
          <w:sz w:val="20"/>
          <w:szCs w:val="20"/>
          <w:lang w:val="en-US"/>
        </w:rPr>
        <w:t xml:space="preserve"> </w:t>
      </w:r>
      <w:r w:rsidR="00CE4F34">
        <w:rPr>
          <w:rFonts w:ascii="Arial" w:hAnsi="Arial" w:cs="Arial"/>
          <w:sz w:val="20"/>
          <w:szCs w:val="20"/>
          <w:lang w:val="en-US"/>
        </w:rPr>
        <w:t>appointed as per 1 September 202</w:t>
      </w:r>
      <w:r w:rsidR="009D5E83">
        <w:rPr>
          <w:rFonts w:ascii="Arial" w:hAnsi="Arial" w:cs="Arial"/>
          <w:sz w:val="20"/>
          <w:szCs w:val="20"/>
          <w:lang w:val="en-US"/>
        </w:rPr>
        <w:t>2</w:t>
      </w:r>
      <w:r w:rsidR="00CF0ABF">
        <w:rPr>
          <w:rFonts w:ascii="Arial" w:hAnsi="Arial" w:cs="Arial"/>
          <w:sz w:val="20"/>
          <w:szCs w:val="20"/>
          <w:lang w:val="en-US"/>
        </w:rPr>
        <w:t xml:space="preserve"> and Co-CIO</w:t>
      </w:r>
      <w:r w:rsidR="009D5E83">
        <w:rPr>
          <w:rFonts w:ascii="Arial" w:hAnsi="Arial" w:cs="Arial"/>
          <w:sz w:val="20"/>
          <w:szCs w:val="20"/>
          <w:lang w:val="en-US"/>
        </w:rPr>
        <w:t xml:space="preserve">, appointed </w:t>
      </w:r>
      <w:r w:rsidR="00247645">
        <w:rPr>
          <w:rFonts w:ascii="Arial" w:hAnsi="Arial" w:cs="Arial"/>
          <w:sz w:val="20"/>
          <w:szCs w:val="20"/>
          <w:lang w:val="en-US"/>
        </w:rPr>
        <w:t xml:space="preserve">as per </w:t>
      </w:r>
      <w:r w:rsidR="009D5E83">
        <w:rPr>
          <w:rFonts w:ascii="Arial" w:hAnsi="Arial" w:cs="Arial"/>
          <w:sz w:val="20"/>
          <w:szCs w:val="20"/>
          <w:lang w:val="en-US"/>
        </w:rPr>
        <w:t>1 December 2022</w:t>
      </w:r>
      <w:r w:rsidR="00CE4F34">
        <w:rPr>
          <w:rFonts w:ascii="Arial" w:hAnsi="Arial" w:cs="Arial"/>
          <w:sz w:val="20"/>
          <w:szCs w:val="20"/>
          <w:lang w:val="en-US"/>
        </w:rPr>
        <w:t>)</w:t>
      </w:r>
      <w:r w:rsidR="00E95D47">
        <w:rPr>
          <w:rFonts w:ascii="Arial" w:hAnsi="Arial" w:cs="Arial"/>
          <w:sz w:val="20"/>
          <w:szCs w:val="20"/>
          <w:lang w:val="en-US"/>
        </w:rPr>
        <w:t>,</w:t>
      </w:r>
      <w:r w:rsidR="00247645" w:rsidRPr="00247645">
        <w:rPr>
          <w:rFonts w:ascii="Arial" w:hAnsi="Arial" w:cs="Arial"/>
          <w:sz w:val="20"/>
          <w:szCs w:val="20"/>
        </w:rPr>
        <w:t xml:space="preserve"> the search for a new member of the SB</w:t>
      </w:r>
      <w:r w:rsidR="00247645">
        <w:rPr>
          <w:rFonts w:ascii="Arial" w:hAnsi="Arial" w:cs="Arial"/>
          <w:sz w:val="20"/>
          <w:szCs w:val="20"/>
        </w:rPr>
        <w:t xml:space="preserve"> (replacement of Thessa Menssen),</w:t>
      </w:r>
      <w:r w:rsidR="00796C6A" w:rsidRPr="00796C6A">
        <w:rPr>
          <w:rFonts w:ascii="Arial" w:hAnsi="Arial" w:cs="Arial"/>
          <w:sz w:val="20"/>
          <w:szCs w:val="20"/>
          <w:lang w:val="en-US"/>
        </w:rPr>
        <w:t xml:space="preserve"> </w:t>
      </w:r>
      <w:r w:rsidR="00247645" w:rsidRPr="00247645">
        <w:rPr>
          <w:rFonts w:ascii="Arial" w:hAnsi="Arial" w:cs="Arial"/>
          <w:sz w:val="20"/>
          <w:szCs w:val="20"/>
        </w:rPr>
        <w:t>the SB retirement schedule and planning, remuneration and HR topics, such as quality of interaction</w:t>
      </w:r>
      <w:r w:rsidR="00247645">
        <w:rPr>
          <w:rFonts w:ascii="Arial" w:hAnsi="Arial" w:cs="Arial"/>
          <w:sz w:val="20"/>
          <w:szCs w:val="20"/>
        </w:rPr>
        <w:t>.</w:t>
      </w:r>
    </w:p>
    <w:p w14:paraId="49EF60FA" w14:textId="77777777" w:rsidR="00247645" w:rsidRPr="00FE5290" w:rsidRDefault="00247645" w:rsidP="006E06BE">
      <w:pPr>
        <w:rPr>
          <w:rFonts w:ascii="Arial" w:hAnsi="Arial" w:cs="Arial"/>
          <w:sz w:val="20"/>
          <w:szCs w:val="20"/>
        </w:rPr>
      </w:pPr>
    </w:p>
    <w:p w14:paraId="03E74EE5" w14:textId="77777777" w:rsidR="00F460DE" w:rsidRPr="00FE5290" w:rsidRDefault="00F460DE" w:rsidP="000E4401">
      <w:pPr>
        <w:pStyle w:val="ListParagraph"/>
        <w:numPr>
          <w:ilvl w:val="0"/>
          <w:numId w:val="2"/>
        </w:numPr>
        <w:ind w:left="567" w:hanging="567"/>
        <w:rPr>
          <w:rFonts w:ascii="Arial" w:hAnsi="Arial" w:cs="Arial"/>
          <w:b/>
          <w:sz w:val="20"/>
          <w:szCs w:val="20"/>
        </w:rPr>
      </w:pPr>
      <w:r w:rsidRPr="00FE5290">
        <w:rPr>
          <w:rFonts w:ascii="Arial" w:hAnsi="Arial" w:cs="Arial"/>
          <w:b/>
          <w:sz w:val="20"/>
          <w:szCs w:val="20"/>
        </w:rPr>
        <w:t>Remunera</w:t>
      </w:r>
      <w:r w:rsidR="00556689" w:rsidRPr="00FE5290">
        <w:rPr>
          <w:rFonts w:ascii="Arial" w:hAnsi="Arial" w:cs="Arial"/>
          <w:b/>
          <w:sz w:val="20"/>
          <w:szCs w:val="20"/>
        </w:rPr>
        <w:t>tion Policy</w:t>
      </w:r>
      <w:r w:rsidRPr="00FE5290">
        <w:rPr>
          <w:rFonts w:ascii="Arial" w:hAnsi="Arial" w:cs="Arial"/>
          <w:b/>
          <w:sz w:val="20"/>
          <w:szCs w:val="20"/>
        </w:rPr>
        <w:t xml:space="preserve"> Identified Staff </w:t>
      </w:r>
    </w:p>
    <w:p w14:paraId="7DB19C08" w14:textId="77777777" w:rsidR="006A116C" w:rsidRPr="00FE5290" w:rsidRDefault="006A116C">
      <w:pPr>
        <w:rPr>
          <w:rFonts w:ascii="Arial" w:hAnsi="Arial" w:cs="Arial"/>
          <w:i/>
          <w:sz w:val="20"/>
          <w:szCs w:val="20"/>
        </w:rPr>
      </w:pPr>
      <w:r w:rsidRPr="00FE5290">
        <w:rPr>
          <w:rFonts w:ascii="Arial" w:hAnsi="Arial" w:cs="Arial"/>
          <w:i/>
          <w:sz w:val="20"/>
          <w:szCs w:val="20"/>
        </w:rPr>
        <w:t xml:space="preserve">General Remuneration principles FMO </w:t>
      </w:r>
      <w:r w:rsidR="00A835DB" w:rsidRPr="00FE5290">
        <w:rPr>
          <w:rFonts w:ascii="Arial" w:hAnsi="Arial" w:cs="Arial"/>
          <w:i/>
          <w:sz w:val="20"/>
          <w:szCs w:val="20"/>
        </w:rPr>
        <w:t xml:space="preserve">(identified) </w:t>
      </w:r>
      <w:r w:rsidRPr="00FE5290">
        <w:rPr>
          <w:rFonts w:ascii="Arial" w:hAnsi="Arial" w:cs="Arial"/>
          <w:i/>
          <w:sz w:val="20"/>
          <w:szCs w:val="20"/>
        </w:rPr>
        <w:t>staff</w:t>
      </w:r>
    </w:p>
    <w:p w14:paraId="21BBCD94" w14:textId="5D1996CC" w:rsidR="00F47EF5" w:rsidRPr="00FE5290" w:rsidRDefault="00F47EF5">
      <w:pPr>
        <w:rPr>
          <w:rFonts w:ascii="Arial" w:hAnsi="Arial" w:cs="Arial"/>
          <w:sz w:val="20"/>
          <w:szCs w:val="20"/>
        </w:rPr>
      </w:pPr>
      <w:r w:rsidRPr="00FE5290">
        <w:rPr>
          <w:rFonts w:ascii="Arial" w:hAnsi="Arial" w:cs="Arial"/>
          <w:sz w:val="20"/>
          <w:szCs w:val="20"/>
        </w:rPr>
        <w:t xml:space="preserve">The remuneration policy is designed to promote fair and consistent employee compensation, based on performance and an efficient job position classification system. </w:t>
      </w:r>
      <w:r w:rsidR="00D91D38" w:rsidRPr="00FE5290">
        <w:rPr>
          <w:rFonts w:ascii="Arial" w:hAnsi="Arial" w:cs="Arial"/>
          <w:sz w:val="20"/>
          <w:szCs w:val="20"/>
        </w:rPr>
        <w:t>Identified Staff members will not receive any v</w:t>
      </w:r>
      <w:r w:rsidRPr="00FE5290">
        <w:rPr>
          <w:rFonts w:ascii="Arial" w:hAnsi="Arial" w:cs="Arial"/>
          <w:sz w:val="20"/>
          <w:szCs w:val="20"/>
        </w:rPr>
        <w:t xml:space="preserve">ariable compensation in the form of bonuses </w:t>
      </w:r>
      <w:r w:rsidR="00FA065C" w:rsidRPr="00FE5290">
        <w:rPr>
          <w:rFonts w:ascii="Arial" w:hAnsi="Arial" w:cs="Arial"/>
          <w:sz w:val="20"/>
          <w:szCs w:val="20"/>
        </w:rPr>
        <w:t>or profit sharing</w:t>
      </w:r>
      <w:r w:rsidR="008E4329">
        <w:rPr>
          <w:rFonts w:ascii="Arial" w:hAnsi="Arial" w:cs="Arial"/>
          <w:sz w:val="20"/>
          <w:szCs w:val="20"/>
        </w:rPr>
        <w:t xml:space="preserve">. </w:t>
      </w:r>
      <w:r w:rsidR="008E4329" w:rsidRPr="00FE5290">
        <w:rPr>
          <w:rFonts w:ascii="Arial" w:hAnsi="Arial" w:cs="Arial"/>
          <w:sz w:val="20"/>
          <w:szCs w:val="20"/>
        </w:rPr>
        <w:t>As of January 2016</w:t>
      </w:r>
      <w:r w:rsidR="008E4329">
        <w:rPr>
          <w:rFonts w:ascii="Arial" w:hAnsi="Arial" w:cs="Arial"/>
          <w:sz w:val="20"/>
          <w:szCs w:val="20"/>
        </w:rPr>
        <w:t>,</w:t>
      </w:r>
      <w:r w:rsidR="008E4329" w:rsidRPr="00FE5290">
        <w:rPr>
          <w:rFonts w:ascii="Arial" w:hAnsi="Arial" w:cs="Arial"/>
          <w:sz w:val="20"/>
          <w:szCs w:val="20"/>
        </w:rPr>
        <w:t xml:space="preserve"> FMO discontinued </w:t>
      </w:r>
      <w:r w:rsidR="00BD4633">
        <w:rPr>
          <w:rFonts w:ascii="Arial" w:hAnsi="Arial" w:cs="Arial"/>
          <w:sz w:val="20"/>
          <w:szCs w:val="20"/>
        </w:rPr>
        <w:t>a</w:t>
      </w:r>
      <w:r w:rsidR="008E4329" w:rsidRPr="00FE5290">
        <w:rPr>
          <w:rFonts w:ascii="Arial" w:hAnsi="Arial" w:cs="Arial"/>
          <w:sz w:val="20"/>
          <w:szCs w:val="20"/>
        </w:rPr>
        <w:t xml:space="preserve"> profi</w:t>
      </w:r>
      <w:r w:rsidR="00BD4633">
        <w:rPr>
          <w:rFonts w:ascii="Arial" w:hAnsi="Arial" w:cs="Arial"/>
          <w:sz w:val="20"/>
          <w:szCs w:val="20"/>
        </w:rPr>
        <w:t>t-</w:t>
      </w:r>
      <w:r w:rsidR="008E4329" w:rsidRPr="00FE5290">
        <w:rPr>
          <w:rFonts w:ascii="Arial" w:hAnsi="Arial" w:cs="Arial"/>
          <w:sz w:val="20"/>
          <w:szCs w:val="20"/>
        </w:rPr>
        <w:t xml:space="preserve">sharing scheme for members of the Management Board and as of January 2017 for </w:t>
      </w:r>
      <w:r w:rsidR="00BD4633">
        <w:rPr>
          <w:rFonts w:ascii="Arial" w:hAnsi="Arial" w:cs="Arial"/>
          <w:sz w:val="20"/>
          <w:szCs w:val="20"/>
        </w:rPr>
        <w:t xml:space="preserve">all other </w:t>
      </w:r>
      <w:r w:rsidR="008E4329" w:rsidRPr="00FE5290">
        <w:rPr>
          <w:rFonts w:ascii="Arial" w:hAnsi="Arial" w:cs="Arial"/>
          <w:sz w:val="20"/>
          <w:szCs w:val="20"/>
        </w:rPr>
        <w:t>staff members.</w:t>
      </w:r>
    </w:p>
    <w:p w14:paraId="3CCA652E" w14:textId="5B063D86" w:rsidR="00F47EF5" w:rsidRPr="00FE5290" w:rsidRDefault="006A116C">
      <w:pPr>
        <w:rPr>
          <w:rFonts w:ascii="Arial" w:hAnsi="Arial" w:cs="Arial"/>
          <w:sz w:val="20"/>
          <w:szCs w:val="20"/>
        </w:rPr>
      </w:pPr>
      <w:r w:rsidRPr="00FE5290">
        <w:rPr>
          <w:rFonts w:ascii="Arial" w:hAnsi="Arial" w:cs="Arial"/>
          <w:sz w:val="20"/>
          <w:szCs w:val="20"/>
        </w:rPr>
        <w:t>All employees working within FMO</w:t>
      </w:r>
      <w:r w:rsidR="00FA065C" w:rsidRPr="00FE5290">
        <w:rPr>
          <w:rFonts w:ascii="Arial" w:hAnsi="Arial" w:cs="Arial"/>
          <w:sz w:val="20"/>
          <w:szCs w:val="20"/>
        </w:rPr>
        <w:t>, including Identified Staff members,</w:t>
      </w:r>
      <w:r w:rsidRPr="00FE5290">
        <w:rPr>
          <w:rFonts w:ascii="Arial" w:hAnsi="Arial" w:cs="Arial"/>
          <w:sz w:val="20"/>
          <w:szCs w:val="20"/>
        </w:rPr>
        <w:t xml:space="preserve"> are subject to the scope of the Collective Labour Agreement Banks (CLA Banks) and the comp</w:t>
      </w:r>
      <w:r w:rsidR="00F47EF5" w:rsidRPr="00FE5290">
        <w:rPr>
          <w:rFonts w:ascii="Arial" w:hAnsi="Arial" w:cs="Arial"/>
          <w:sz w:val="20"/>
          <w:szCs w:val="20"/>
        </w:rPr>
        <w:t>ensation and benefits package</w:t>
      </w:r>
      <w:r w:rsidRPr="00FE5290">
        <w:rPr>
          <w:rFonts w:ascii="Arial" w:hAnsi="Arial" w:cs="Arial"/>
          <w:sz w:val="20"/>
          <w:szCs w:val="20"/>
        </w:rPr>
        <w:t xml:space="preserve"> </w:t>
      </w:r>
      <w:r w:rsidR="00BD4633">
        <w:rPr>
          <w:rFonts w:ascii="Arial" w:hAnsi="Arial" w:cs="Arial"/>
          <w:sz w:val="20"/>
          <w:szCs w:val="20"/>
        </w:rPr>
        <w:t xml:space="preserve">as </w:t>
      </w:r>
      <w:r w:rsidRPr="00FE5290">
        <w:rPr>
          <w:rFonts w:ascii="Arial" w:hAnsi="Arial" w:cs="Arial"/>
          <w:sz w:val="20"/>
          <w:szCs w:val="20"/>
        </w:rPr>
        <w:t xml:space="preserve">stated in the Personnel Guide of FMO. </w:t>
      </w:r>
      <w:r w:rsidR="00C2362F" w:rsidRPr="00FE5290">
        <w:rPr>
          <w:rFonts w:ascii="Arial" w:hAnsi="Arial" w:cs="Arial"/>
          <w:sz w:val="20"/>
          <w:szCs w:val="20"/>
        </w:rPr>
        <w:t xml:space="preserve">The remuneration structure implies a maximum salary for each position in the organization.  </w:t>
      </w:r>
    </w:p>
    <w:p w14:paraId="5850A707" w14:textId="77777777" w:rsidR="00BD4633" w:rsidRDefault="00F47EF5">
      <w:pPr>
        <w:rPr>
          <w:rFonts w:ascii="Arial" w:hAnsi="Arial" w:cs="Arial"/>
          <w:sz w:val="20"/>
          <w:szCs w:val="20"/>
        </w:rPr>
      </w:pPr>
      <w:r w:rsidRPr="00FE5290">
        <w:rPr>
          <w:rFonts w:ascii="Arial" w:hAnsi="Arial" w:cs="Arial"/>
          <w:sz w:val="20"/>
          <w:szCs w:val="20"/>
        </w:rPr>
        <w:t xml:space="preserve">The annual performance management system is based on (individual and team) target setting related to the appropriate </w:t>
      </w:r>
      <w:r w:rsidR="003C0998" w:rsidRPr="00FE5290">
        <w:rPr>
          <w:rFonts w:ascii="Arial" w:hAnsi="Arial" w:cs="Arial"/>
          <w:sz w:val="20"/>
          <w:szCs w:val="20"/>
        </w:rPr>
        <w:t>objectives that both put the</w:t>
      </w:r>
      <w:r w:rsidRPr="00FE5290">
        <w:rPr>
          <w:rFonts w:ascii="Arial" w:hAnsi="Arial" w:cs="Arial"/>
          <w:sz w:val="20"/>
          <w:szCs w:val="20"/>
        </w:rPr>
        <w:t xml:space="preserve"> interest</w:t>
      </w:r>
      <w:r w:rsidR="003C0998" w:rsidRPr="00FE5290">
        <w:rPr>
          <w:rFonts w:ascii="Arial" w:hAnsi="Arial" w:cs="Arial"/>
          <w:sz w:val="20"/>
          <w:szCs w:val="20"/>
        </w:rPr>
        <w:t xml:space="preserve"> of clients</w:t>
      </w:r>
      <w:r w:rsidRPr="00FE5290">
        <w:rPr>
          <w:rFonts w:ascii="Arial" w:hAnsi="Arial" w:cs="Arial"/>
          <w:sz w:val="20"/>
          <w:szCs w:val="20"/>
        </w:rPr>
        <w:t xml:space="preserve"> first and help ensure the long-term continuity and </w:t>
      </w:r>
      <w:r w:rsidR="003C0998" w:rsidRPr="00FE5290">
        <w:rPr>
          <w:rFonts w:ascii="Arial" w:hAnsi="Arial" w:cs="Arial"/>
          <w:sz w:val="20"/>
          <w:szCs w:val="20"/>
        </w:rPr>
        <w:t xml:space="preserve">financial strength of FMO. Setting targets, measuring </w:t>
      </w:r>
      <w:proofErr w:type="gramStart"/>
      <w:r w:rsidR="003C0998" w:rsidRPr="00FE5290">
        <w:rPr>
          <w:rFonts w:ascii="Arial" w:hAnsi="Arial" w:cs="Arial"/>
          <w:sz w:val="20"/>
          <w:szCs w:val="20"/>
        </w:rPr>
        <w:t>results</w:t>
      </w:r>
      <w:proofErr w:type="gramEnd"/>
      <w:r w:rsidR="003C0998" w:rsidRPr="00FE5290">
        <w:rPr>
          <w:rFonts w:ascii="Arial" w:hAnsi="Arial" w:cs="Arial"/>
          <w:sz w:val="20"/>
          <w:szCs w:val="20"/>
        </w:rPr>
        <w:t xml:space="preserve"> and evaluating performance is part of this annual </w:t>
      </w:r>
      <w:r w:rsidR="00863ED2" w:rsidRPr="00FE5290">
        <w:rPr>
          <w:rFonts w:ascii="Arial" w:hAnsi="Arial" w:cs="Arial"/>
          <w:sz w:val="20"/>
          <w:szCs w:val="20"/>
        </w:rPr>
        <w:t xml:space="preserve">performance management </w:t>
      </w:r>
      <w:r w:rsidR="003C0998" w:rsidRPr="00FE5290">
        <w:rPr>
          <w:rFonts w:ascii="Arial" w:hAnsi="Arial" w:cs="Arial"/>
          <w:sz w:val="20"/>
          <w:szCs w:val="20"/>
        </w:rPr>
        <w:t xml:space="preserve">cycle. </w:t>
      </w:r>
      <w:r w:rsidR="00BD4633" w:rsidRPr="00BD4633">
        <w:rPr>
          <w:rFonts w:ascii="Arial" w:hAnsi="Arial" w:cs="Arial"/>
          <w:sz w:val="20"/>
          <w:szCs w:val="20"/>
        </w:rPr>
        <w:t>The individual performance is evaluated and will result in the (potential) salary adjustment up to the maximum salary applicable to the position.</w:t>
      </w:r>
    </w:p>
    <w:p w14:paraId="63BF9197" w14:textId="260A5C21" w:rsidR="003C0998" w:rsidRPr="00FE5290" w:rsidRDefault="003C0998">
      <w:pPr>
        <w:rPr>
          <w:rFonts w:ascii="Arial" w:hAnsi="Arial" w:cs="Arial"/>
          <w:sz w:val="20"/>
          <w:szCs w:val="20"/>
        </w:rPr>
      </w:pPr>
      <w:r w:rsidRPr="00FE5290">
        <w:rPr>
          <w:rFonts w:ascii="Arial" w:hAnsi="Arial" w:cs="Arial"/>
          <w:sz w:val="20"/>
          <w:szCs w:val="20"/>
        </w:rPr>
        <w:t xml:space="preserve">External benchmark surveys are regularly used to compare the level of remuneration with the relevant market. FMO aims to set its </w:t>
      </w:r>
      <w:r w:rsidR="00863ED2" w:rsidRPr="00FE5290">
        <w:rPr>
          <w:rFonts w:ascii="Arial" w:hAnsi="Arial" w:cs="Arial"/>
          <w:sz w:val="20"/>
          <w:szCs w:val="20"/>
        </w:rPr>
        <w:t xml:space="preserve">total </w:t>
      </w:r>
      <w:r w:rsidRPr="00FE5290">
        <w:rPr>
          <w:rFonts w:ascii="Arial" w:hAnsi="Arial" w:cs="Arial"/>
          <w:sz w:val="20"/>
          <w:szCs w:val="20"/>
        </w:rPr>
        <w:t xml:space="preserve">remuneration </w:t>
      </w:r>
      <w:r w:rsidR="00863ED2" w:rsidRPr="00FE5290">
        <w:rPr>
          <w:rFonts w:ascii="Arial" w:hAnsi="Arial" w:cs="Arial"/>
          <w:sz w:val="20"/>
          <w:szCs w:val="20"/>
        </w:rPr>
        <w:t xml:space="preserve">around </w:t>
      </w:r>
      <w:r w:rsidRPr="00FE5290">
        <w:rPr>
          <w:rFonts w:ascii="Arial" w:hAnsi="Arial" w:cs="Arial"/>
          <w:sz w:val="20"/>
          <w:szCs w:val="20"/>
        </w:rPr>
        <w:t>the median (what is the middle value of the selection) paid in the Dutch financial service industry, which is seen as the relevant market for comparable work.</w:t>
      </w:r>
      <w:r w:rsidR="00D164CD" w:rsidRPr="00FE5290">
        <w:rPr>
          <w:rFonts w:ascii="Arial" w:hAnsi="Arial" w:cs="Arial"/>
          <w:sz w:val="20"/>
          <w:szCs w:val="20"/>
        </w:rPr>
        <w:t xml:space="preserve"> </w:t>
      </w:r>
      <w:r w:rsidR="00BD4633">
        <w:rPr>
          <w:rFonts w:ascii="Arial" w:hAnsi="Arial" w:cs="Arial"/>
          <w:sz w:val="20"/>
          <w:szCs w:val="20"/>
        </w:rPr>
        <w:t>The j</w:t>
      </w:r>
      <w:r w:rsidR="00D164CD" w:rsidRPr="00FE5290">
        <w:rPr>
          <w:rFonts w:ascii="Arial" w:hAnsi="Arial" w:cs="Arial"/>
          <w:sz w:val="20"/>
          <w:szCs w:val="20"/>
        </w:rPr>
        <w:t>ob levels of all (</w:t>
      </w:r>
      <w:r w:rsidR="00BD4633">
        <w:rPr>
          <w:rFonts w:ascii="Arial" w:hAnsi="Arial" w:cs="Arial"/>
          <w:sz w:val="20"/>
          <w:szCs w:val="20"/>
        </w:rPr>
        <w:t>I</w:t>
      </w:r>
      <w:r w:rsidR="00D164CD" w:rsidRPr="00FE5290">
        <w:rPr>
          <w:rFonts w:ascii="Arial" w:hAnsi="Arial" w:cs="Arial"/>
          <w:sz w:val="20"/>
          <w:szCs w:val="20"/>
        </w:rPr>
        <w:t>dentified</w:t>
      </w:r>
      <w:r w:rsidR="00BD4633">
        <w:rPr>
          <w:rFonts w:ascii="Arial" w:hAnsi="Arial" w:cs="Arial"/>
          <w:sz w:val="20"/>
          <w:szCs w:val="20"/>
        </w:rPr>
        <w:t xml:space="preserve"> Staff</w:t>
      </w:r>
      <w:r w:rsidR="00D164CD" w:rsidRPr="00FE5290">
        <w:rPr>
          <w:rFonts w:ascii="Arial" w:hAnsi="Arial" w:cs="Arial"/>
          <w:sz w:val="20"/>
          <w:szCs w:val="20"/>
        </w:rPr>
        <w:t xml:space="preserve">) staff members are in part of these </w:t>
      </w:r>
      <w:r w:rsidR="00BD4633">
        <w:rPr>
          <w:rFonts w:ascii="Arial" w:hAnsi="Arial" w:cs="Arial"/>
          <w:sz w:val="20"/>
          <w:szCs w:val="20"/>
        </w:rPr>
        <w:t xml:space="preserve">remuneration </w:t>
      </w:r>
      <w:r w:rsidR="00D164CD" w:rsidRPr="00FE5290">
        <w:rPr>
          <w:rFonts w:ascii="Arial" w:hAnsi="Arial" w:cs="Arial"/>
          <w:sz w:val="20"/>
          <w:szCs w:val="20"/>
        </w:rPr>
        <w:t xml:space="preserve">benchmark surveys.  </w:t>
      </w:r>
    </w:p>
    <w:p w14:paraId="47412C6A" w14:textId="77777777" w:rsidR="006A116C" w:rsidRPr="00FE5290" w:rsidRDefault="003225B2">
      <w:pPr>
        <w:rPr>
          <w:rFonts w:ascii="Arial" w:hAnsi="Arial" w:cs="Arial"/>
          <w:sz w:val="20"/>
          <w:szCs w:val="20"/>
        </w:rPr>
      </w:pPr>
      <w:r w:rsidRPr="00FE5290">
        <w:rPr>
          <w:rFonts w:ascii="Arial" w:hAnsi="Arial" w:cs="Arial"/>
          <w:sz w:val="20"/>
          <w:szCs w:val="20"/>
        </w:rPr>
        <w:t xml:space="preserve">The remuneration policy is in line with FMO’s business strategy, our core </w:t>
      </w:r>
      <w:proofErr w:type="gramStart"/>
      <w:r w:rsidRPr="00FE5290">
        <w:rPr>
          <w:rFonts w:ascii="Arial" w:hAnsi="Arial" w:cs="Arial"/>
          <w:sz w:val="20"/>
          <w:szCs w:val="20"/>
        </w:rPr>
        <w:t>values</w:t>
      </w:r>
      <w:proofErr w:type="gramEnd"/>
      <w:r w:rsidRPr="00FE5290">
        <w:rPr>
          <w:rFonts w:ascii="Arial" w:hAnsi="Arial" w:cs="Arial"/>
          <w:sz w:val="20"/>
          <w:szCs w:val="20"/>
        </w:rPr>
        <w:t xml:space="preserve"> and the desired risk profile of </w:t>
      </w:r>
      <w:r w:rsidR="00D164CD" w:rsidRPr="00FE5290">
        <w:rPr>
          <w:rFonts w:ascii="Arial" w:hAnsi="Arial" w:cs="Arial"/>
          <w:sz w:val="20"/>
          <w:szCs w:val="20"/>
        </w:rPr>
        <w:t>FMO and it discourages (identified) staff members</w:t>
      </w:r>
      <w:r w:rsidRPr="00FE5290">
        <w:rPr>
          <w:rFonts w:ascii="Arial" w:hAnsi="Arial" w:cs="Arial"/>
          <w:sz w:val="20"/>
          <w:szCs w:val="20"/>
        </w:rPr>
        <w:t xml:space="preserve"> from taking non-desirable risks</w:t>
      </w:r>
      <w:r w:rsidR="00C435A7" w:rsidRPr="00FE5290">
        <w:rPr>
          <w:rFonts w:ascii="Arial" w:hAnsi="Arial" w:cs="Arial"/>
          <w:sz w:val="20"/>
          <w:szCs w:val="20"/>
        </w:rPr>
        <w:t>, nor does it reward failure or misconduct</w:t>
      </w:r>
      <w:r w:rsidRPr="00FE5290">
        <w:rPr>
          <w:rFonts w:ascii="Arial" w:hAnsi="Arial" w:cs="Arial"/>
          <w:sz w:val="20"/>
          <w:szCs w:val="20"/>
        </w:rPr>
        <w:t xml:space="preserve">. At the same time, it allows FMO to attract and retain qualified staff, while encouraging employees to aim for long-term results that serve the </w:t>
      </w:r>
      <w:r w:rsidR="00422F1E" w:rsidRPr="00FE5290">
        <w:rPr>
          <w:rFonts w:ascii="Arial" w:hAnsi="Arial" w:cs="Arial"/>
          <w:sz w:val="20"/>
          <w:szCs w:val="20"/>
        </w:rPr>
        <w:t>long-term interest of our clients and the mission of FMO.</w:t>
      </w:r>
      <w:r w:rsidRPr="00FE5290">
        <w:rPr>
          <w:rFonts w:ascii="Arial" w:hAnsi="Arial" w:cs="Arial"/>
          <w:sz w:val="20"/>
          <w:szCs w:val="20"/>
        </w:rPr>
        <w:t xml:space="preserve">  </w:t>
      </w:r>
    </w:p>
    <w:p w14:paraId="1D6D30BF" w14:textId="77777777" w:rsidR="00F460DE" w:rsidRPr="00FE5290" w:rsidRDefault="00F460DE">
      <w:pPr>
        <w:rPr>
          <w:rFonts w:ascii="Arial" w:hAnsi="Arial" w:cs="Arial"/>
          <w:i/>
          <w:sz w:val="20"/>
          <w:szCs w:val="20"/>
        </w:rPr>
      </w:pPr>
      <w:r w:rsidRPr="00FE5290">
        <w:rPr>
          <w:rFonts w:ascii="Arial" w:hAnsi="Arial" w:cs="Arial"/>
          <w:i/>
          <w:sz w:val="20"/>
          <w:szCs w:val="20"/>
        </w:rPr>
        <w:t>Remuneration Principles</w:t>
      </w:r>
      <w:r w:rsidR="006A116C" w:rsidRPr="00FE5290">
        <w:rPr>
          <w:rFonts w:ascii="Arial" w:hAnsi="Arial" w:cs="Arial"/>
          <w:i/>
          <w:sz w:val="20"/>
          <w:szCs w:val="20"/>
        </w:rPr>
        <w:t xml:space="preserve"> Management Board</w:t>
      </w:r>
    </w:p>
    <w:p w14:paraId="00F3CEDB" w14:textId="63D414A6" w:rsidR="00634D4A" w:rsidRPr="00FE5290" w:rsidRDefault="00634D4A" w:rsidP="006A116C">
      <w:pPr>
        <w:rPr>
          <w:rFonts w:ascii="Arial" w:hAnsi="Arial" w:cs="Arial"/>
          <w:sz w:val="20"/>
          <w:szCs w:val="20"/>
        </w:rPr>
      </w:pPr>
      <w:r w:rsidRPr="004F550F">
        <w:rPr>
          <w:rFonts w:ascii="Arial" w:hAnsi="Arial" w:cs="Arial"/>
          <w:sz w:val="20"/>
          <w:szCs w:val="20"/>
        </w:rPr>
        <w:t>FMO’s remuneration policies are aligned with the requirements under external legislation and regulations, including the Dutch Banking Code, the R</w:t>
      </w:r>
      <w:r w:rsidR="00EC43BF" w:rsidRPr="004F550F">
        <w:rPr>
          <w:rFonts w:ascii="Arial" w:hAnsi="Arial" w:cs="Arial"/>
          <w:sz w:val="20"/>
          <w:szCs w:val="20"/>
        </w:rPr>
        <w:t>BB/</w:t>
      </w:r>
      <w:proofErr w:type="spellStart"/>
      <w:r w:rsidR="00EC43BF" w:rsidRPr="004F550F">
        <w:rPr>
          <w:rFonts w:ascii="Arial" w:hAnsi="Arial" w:cs="Arial"/>
          <w:sz w:val="20"/>
          <w:szCs w:val="20"/>
        </w:rPr>
        <w:t>Wft</w:t>
      </w:r>
      <w:proofErr w:type="spellEnd"/>
      <w:r w:rsidR="00EC43BF" w:rsidRPr="004F550F">
        <w:rPr>
          <w:rFonts w:ascii="Arial" w:hAnsi="Arial" w:cs="Arial"/>
          <w:sz w:val="20"/>
          <w:szCs w:val="20"/>
        </w:rPr>
        <w:t xml:space="preserve"> 20</w:t>
      </w:r>
      <w:r w:rsidR="00A5119F" w:rsidRPr="004F550F">
        <w:rPr>
          <w:rFonts w:ascii="Arial" w:hAnsi="Arial" w:cs="Arial"/>
          <w:sz w:val="20"/>
          <w:szCs w:val="20"/>
        </w:rPr>
        <w:t>21</w:t>
      </w:r>
      <w:r w:rsidR="00863ED2" w:rsidRPr="004F550F">
        <w:rPr>
          <w:rFonts w:ascii="Arial" w:hAnsi="Arial" w:cs="Arial"/>
          <w:sz w:val="20"/>
          <w:szCs w:val="20"/>
        </w:rPr>
        <w:t xml:space="preserve"> r</w:t>
      </w:r>
      <w:r w:rsidRPr="004F550F">
        <w:rPr>
          <w:rFonts w:ascii="Arial" w:hAnsi="Arial" w:cs="Arial"/>
          <w:sz w:val="20"/>
          <w:szCs w:val="20"/>
        </w:rPr>
        <w:t>egulati</w:t>
      </w:r>
      <w:r w:rsidR="00863ED2" w:rsidRPr="004F550F">
        <w:rPr>
          <w:rFonts w:ascii="Arial" w:hAnsi="Arial" w:cs="Arial"/>
          <w:sz w:val="20"/>
          <w:szCs w:val="20"/>
        </w:rPr>
        <w:t>ons</w:t>
      </w:r>
      <w:r w:rsidRPr="004F550F">
        <w:rPr>
          <w:rFonts w:ascii="Arial" w:hAnsi="Arial" w:cs="Arial"/>
          <w:sz w:val="20"/>
          <w:szCs w:val="20"/>
        </w:rPr>
        <w:t>, and the guidelines of the Capital Requirements Directives (CRD V).</w:t>
      </w:r>
      <w:r w:rsidR="00B307BB">
        <w:rPr>
          <w:rFonts w:ascii="Arial" w:hAnsi="Arial" w:cs="Arial"/>
          <w:sz w:val="20"/>
          <w:szCs w:val="20"/>
        </w:rPr>
        <w:t xml:space="preserve"> In 2022 </w:t>
      </w:r>
      <w:r w:rsidR="00B93409">
        <w:rPr>
          <w:rFonts w:ascii="Arial" w:hAnsi="Arial" w:cs="Arial"/>
          <w:sz w:val="20"/>
          <w:szCs w:val="20"/>
        </w:rPr>
        <w:t xml:space="preserve">follow up will be given to the gender </w:t>
      </w:r>
      <w:r w:rsidR="00C50DCC">
        <w:rPr>
          <w:rFonts w:ascii="Arial" w:hAnsi="Arial" w:cs="Arial"/>
          <w:sz w:val="20"/>
          <w:szCs w:val="20"/>
        </w:rPr>
        <w:t>pay gap ana</w:t>
      </w:r>
      <w:r w:rsidR="00101E4F">
        <w:rPr>
          <w:rFonts w:ascii="Arial" w:hAnsi="Arial" w:cs="Arial"/>
          <w:sz w:val="20"/>
          <w:szCs w:val="20"/>
        </w:rPr>
        <w:t xml:space="preserve">lysis and </w:t>
      </w:r>
      <w:r w:rsidR="009C2288">
        <w:rPr>
          <w:rFonts w:ascii="Arial" w:hAnsi="Arial" w:cs="Arial"/>
          <w:sz w:val="20"/>
          <w:szCs w:val="20"/>
        </w:rPr>
        <w:t xml:space="preserve">the </w:t>
      </w:r>
      <w:r w:rsidR="00101E4F">
        <w:rPr>
          <w:rFonts w:ascii="Arial" w:hAnsi="Arial" w:cs="Arial"/>
          <w:sz w:val="20"/>
          <w:szCs w:val="20"/>
        </w:rPr>
        <w:t>gender</w:t>
      </w:r>
      <w:r w:rsidR="009C2288">
        <w:rPr>
          <w:rFonts w:ascii="Arial" w:hAnsi="Arial" w:cs="Arial"/>
          <w:sz w:val="20"/>
          <w:szCs w:val="20"/>
        </w:rPr>
        <w:t>-</w:t>
      </w:r>
      <w:r w:rsidR="00C50DCC">
        <w:rPr>
          <w:rFonts w:ascii="Arial" w:hAnsi="Arial" w:cs="Arial"/>
          <w:sz w:val="20"/>
          <w:szCs w:val="20"/>
        </w:rPr>
        <w:t>neutral asp</w:t>
      </w:r>
      <w:r w:rsidR="00101E4F">
        <w:rPr>
          <w:rFonts w:ascii="Arial" w:hAnsi="Arial" w:cs="Arial"/>
          <w:sz w:val="20"/>
          <w:szCs w:val="20"/>
        </w:rPr>
        <w:t>e</w:t>
      </w:r>
      <w:r w:rsidR="00C50DCC">
        <w:rPr>
          <w:rFonts w:ascii="Arial" w:hAnsi="Arial" w:cs="Arial"/>
          <w:sz w:val="20"/>
          <w:szCs w:val="20"/>
        </w:rPr>
        <w:t>cts</w:t>
      </w:r>
      <w:r w:rsidR="00101E4F">
        <w:rPr>
          <w:rFonts w:ascii="Arial" w:hAnsi="Arial" w:cs="Arial"/>
          <w:sz w:val="20"/>
          <w:szCs w:val="20"/>
        </w:rPr>
        <w:t xml:space="preserve"> of the remun</w:t>
      </w:r>
      <w:r w:rsidR="009D77C2">
        <w:rPr>
          <w:rFonts w:ascii="Arial" w:hAnsi="Arial" w:cs="Arial"/>
          <w:sz w:val="20"/>
          <w:szCs w:val="20"/>
        </w:rPr>
        <w:t>eration policy and practice</w:t>
      </w:r>
      <w:r w:rsidR="00D472ED">
        <w:rPr>
          <w:rFonts w:ascii="Arial" w:hAnsi="Arial" w:cs="Arial"/>
          <w:sz w:val="20"/>
          <w:szCs w:val="20"/>
        </w:rPr>
        <w:t xml:space="preserve"> with respect to </w:t>
      </w:r>
      <w:r w:rsidR="009C2288">
        <w:rPr>
          <w:rFonts w:ascii="Arial" w:hAnsi="Arial" w:cs="Arial"/>
          <w:sz w:val="20"/>
          <w:szCs w:val="20"/>
        </w:rPr>
        <w:t>Management Board and Identified staff remuneration</w:t>
      </w:r>
      <w:r w:rsidR="004F550F">
        <w:rPr>
          <w:rFonts w:ascii="Arial" w:hAnsi="Arial" w:cs="Arial"/>
          <w:sz w:val="20"/>
          <w:szCs w:val="20"/>
        </w:rPr>
        <w:t>,</w:t>
      </w:r>
      <w:r w:rsidR="00244736">
        <w:rPr>
          <w:rFonts w:ascii="Arial" w:hAnsi="Arial" w:cs="Arial"/>
          <w:sz w:val="20"/>
          <w:szCs w:val="20"/>
        </w:rPr>
        <w:t xml:space="preserve"> in alignment with </w:t>
      </w:r>
      <w:r w:rsidR="00941BBF">
        <w:rPr>
          <w:rFonts w:ascii="Arial" w:hAnsi="Arial" w:cs="Arial"/>
          <w:sz w:val="20"/>
          <w:szCs w:val="20"/>
        </w:rPr>
        <w:t xml:space="preserve">the Gender Diversity KPI’s </w:t>
      </w:r>
      <w:r w:rsidR="00193226">
        <w:rPr>
          <w:rFonts w:ascii="Arial" w:hAnsi="Arial" w:cs="Arial"/>
          <w:sz w:val="20"/>
          <w:szCs w:val="20"/>
        </w:rPr>
        <w:t>(including a gender pay gap analysis) for the total staff population of FMO.</w:t>
      </w:r>
      <w:r w:rsidR="00C50DCC">
        <w:rPr>
          <w:rFonts w:ascii="Arial" w:hAnsi="Arial" w:cs="Arial"/>
          <w:sz w:val="20"/>
          <w:szCs w:val="20"/>
        </w:rPr>
        <w:t xml:space="preserve"> </w:t>
      </w:r>
      <w:r w:rsidR="00B307BB">
        <w:rPr>
          <w:rFonts w:ascii="Arial" w:hAnsi="Arial" w:cs="Arial"/>
          <w:sz w:val="20"/>
          <w:szCs w:val="20"/>
        </w:rPr>
        <w:t xml:space="preserve"> </w:t>
      </w:r>
    </w:p>
    <w:p w14:paraId="46963F4C" w14:textId="60FC0A85" w:rsidR="005A5D2E" w:rsidRPr="00F97874" w:rsidRDefault="00732765" w:rsidP="00F97874">
      <w:pPr>
        <w:pStyle w:val="NoSpacing"/>
        <w:rPr>
          <w:rFonts w:ascii="Arial" w:hAnsi="Arial" w:cs="Arial"/>
          <w:sz w:val="20"/>
          <w:szCs w:val="20"/>
        </w:rPr>
      </w:pPr>
      <w:r>
        <w:rPr>
          <w:rFonts w:ascii="Arial" w:hAnsi="Arial" w:cs="Arial"/>
          <w:sz w:val="20"/>
          <w:szCs w:val="20"/>
        </w:rPr>
        <w:lastRenderedPageBreak/>
        <w:t>T</w:t>
      </w:r>
      <w:r w:rsidR="00681426" w:rsidRPr="0071486F">
        <w:rPr>
          <w:rFonts w:ascii="Arial" w:hAnsi="Arial" w:cs="Arial"/>
          <w:sz w:val="20"/>
          <w:szCs w:val="20"/>
        </w:rPr>
        <w:t xml:space="preserve">he </w:t>
      </w:r>
      <w:r w:rsidR="005A5D2E" w:rsidRPr="0071486F">
        <w:rPr>
          <w:rFonts w:ascii="Arial" w:hAnsi="Arial" w:cs="Arial"/>
          <w:sz w:val="20"/>
          <w:szCs w:val="20"/>
        </w:rPr>
        <w:t xml:space="preserve">Annual </w:t>
      </w:r>
      <w:r w:rsidR="00681426" w:rsidRPr="0071486F">
        <w:rPr>
          <w:rFonts w:ascii="Arial" w:hAnsi="Arial" w:cs="Arial"/>
          <w:sz w:val="20"/>
          <w:szCs w:val="20"/>
        </w:rPr>
        <w:t xml:space="preserve">General Meeting of Shareholders established </w:t>
      </w:r>
      <w:r>
        <w:rPr>
          <w:rFonts w:ascii="Arial" w:hAnsi="Arial" w:cs="Arial"/>
          <w:sz w:val="20"/>
          <w:szCs w:val="20"/>
        </w:rPr>
        <w:t xml:space="preserve">the </w:t>
      </w:r>
      <w:r w:rsidR="00681426" w:rsidRPr="0071486F">
        <w:rPr>
          <w:rFonts w:ascii="Arial" w:hAnsi="Arial" w:cs="Arial"/>
          <w:sz w:val="20"/>
          <w:szCs w:val="20"/>
        </w:rPr>
        <w:t xml:space="preserve">remuneration policy for </w:t>
      </w:r>
      <w:r>
        <w:rPr>
          <w:rFonts w:ascii="Arial" w:hAnsi="Arial" w:cs="Arial"/>
          <w:sz w:val="20"/>
          <w:szCs w:val="20"/>
        </w:rPr>
        <w:t>members of the</w:t>
      </w:r>
      <w:r w:rsidR="00681426" w:rsidRPr="0071486F">
        <w:rPr>
          <w:rFonts w:ascii="Arial" w:hAnsi="Arial" w:cs="Arial"/>
          <w:sz w:val="20"/>
          <w:szCs w:val="20"/>
        </w:rPr>
        <w:t xml:space="preserve"> Management Board. </w:t>
      </w:r>
      <w:r w:rsidR="008B7CDD" w:rsidRPr="0071486F">
        <w:rPr>
          <w:rFonts w:ascii="Arial" w:hAnsi="Arial" w:cs="Arial"/>
          <w:sz w:val="20"/>
          <w:szCs w:val="20"/>
        </w:rPr>
        <w:t xml:space="preserve">With respect to the fixed remuneration of the CEO </w:t>
      </w:r>
      <w:r w:rsidR="005A5D2E" w:rsidRPr="0071486F">
        <w:rPr>
          <w:rFonts w:ascii="Arial" w:hAnsi="Arial" w:cs="Arial"/>
          <w:sz w:val="20"/>
          <w:szCs w:val="20"/>
        </w:rPr>
        <w:t xml:space="preserve">the remuneration policy indicates a </w:t>
      </w:r>
      <w:r w:rsidR="008B7CDD" w:rsidRPr="0071486F">
        <w:rPr>
          <w:rFonts w:ascii="Arial" w:hAnsi="Arial" w:cs="Arial"/>
          <w:sz w:val="20"/>
          <w:szCs w:val="20"/>
        </w:rPr>
        <w:t xml:space="preserve">maximum salary level. </w:t>
      </w:r>
      <w:proofErr w:type="gramStart"/>
      <w:r w:rsidR="005A5D2E" w:rsidRPr="0071486F">
        <w:rPr>
          <w:rFonts w:ascii="Arial" w:hAnsi="Arial" w:cs="Arial"/>
          <w:sz w:val="20"/>
          <w:szCs w:val="20"/>
        </w:rPr>
        <w:t>Also</w:t>
      </w:r>
      <w:proofErr w:type="gramEnd"/>
      <w:r w:rsidR="005A5D2E" w:rsidRPr="0071486F">
        <w:rPr>
          <w:rFonts w:ascii="Arial" w:hAnsi="Arial" w:cs="Arial"/>
          <w:sz w:val="20"/>
          <w:szCs w:val="20"/>
        </w:rPr>
        <w:t xml:space="preserve"> t</w:t>
      </w:r>
      <w:r w:rsidR="008B7CDD" w:rsidRPr="0071486F">
        <w:rPr>
          <w:rFonts w:ascii="Arial" w:hAnsi="Arial" w:cs="Arial"/>
          <w:sz w:val="20"/>
          <w:szCs w:val="20"/>
        </w:rPr>
        <w:t xml:space="preserve">he maximum salary levels of the other members of the Management Board are related to this maximum. </w:t>
      </w:r>
      <w:r w:rsidR="00284B7E" w:rsidRPr="0071486F">
        <w:rPr>
          <w:rFonts w:ascii="Arial" w:hAnsi="Arial" w:cs="Arial"/>
          <w:sz w:val="20"/>
          <w:szCs w:val="20"/>
        </w:rPr>
        <w:t>These maxima will be adjusted in alignment with salary adjustment in the Collective Labou</w:t>
      </w:r>
      <w:r w:rsidR="00FA065C" w:rsidRPr="0071486F">
        <w:rPr>
          <w:rFonts w:ascii="Arial" w:hAnsi="Arial" w:cs="Arial"/>
          <w:sz w:val="20"/>
          <w:szCs w:val="20"/>
        </w:rPr>
        <w:t xml:space="preserve">r Agreement (CLA Banks). </w:t>
      </w:r>
      <w:r>
        <w:rPr>
          <w:rFonts w:ascii="Arial" w:hAnsi="Arial" w:cs="Arial"/>
          <w:sz w:val="20"/>
          <w:szCs w:val="20"/>
        </w:rPr>
        <w:t>Already e</w:t>
      </w:r>
      <w:r w:rsidR="0071486F" w:rsidRPr="00F97874">
        <w:rPr>
          <w:rFonts w:ascii="Arial" w:hAnsi="Arial" w:cs="Arial"/>
          <w:sz w:val="20"/>
          <w:szCs w:val="20"/>
        </w:rPr>
        <w:t xml:space="preserve">xisting agreements in favour of the employee, will continue to be respected in the future.  </w:t>
      </w:r>
    </w:p>
    <w:p w14:paraId="55F7C31B" w14:textId="76CB24EE" w:rsidR="00F97874" w:rsidRDefault="00F97874" w:rsidP="00F97874">
      <w:pPr>
        <w:pStyle w:val="NoSpacing"/>
        <w:rPr>
          <w:rFonts w:ascii="Arial" w:hAnsi="Arial" w:cs="Arial"/>
          <w:sz w:val="20"/>
          <w:szCs w:val="20"/>
        </w:rPr>
      </w:pPr>
    </w:p>
    <w:p w14:paraId="0955FE4D" w14:textId="6D253300" w:rsidR="006A11DF" w:rsidRDefault="00732765" w:rsidP="006A11DF">
      <w:pPr>
        <w:spacing w:after="0" w:line="240" w:lineRule="auto"/>
        <w:rPr>
          <w:rFonts w:ascii="Arial" w:hAnsi="Arial" w:cs="Arial"/>
          <w:sz w:val="20"/>
          <w:szCs w:val="20"/>
        </w:rPr>
      </w:pPr>
      <w:r w:rsidRPr="00732765">
        <w:rPr>
          <w:rFonts w:ascii="Arial" w:hAnsi="Arial" w:cs="Arial"/>
          <w:sz w:val="20"/>
          <w:szCs w:val="20"/>
        </w:rPr>
        <w:t>During the AGM 20</w:t>
      </w:r>
      <w:r w:rsidR="008716BB">
        <w:rPr>
          <w:rFonts w:ascii="Arial" w:hAnsi="Arial" w:cs="Arial"/>
          <w:sz w:val="20"/>
          <w:szCs w:val="20"/>
        </w:rPr>
        <w:t>2</w:t>
      </w:r>
      <w:r w:rsidR="006E651D">
        <w:rPr>
          <w:rFonts w:ascii="Arial" w:hAnsi="Arial" w:cs="Arial"/>
          <w:sz w:val="20"/>
          <w:szCs w:val="20"/>
        </w:rPr>
        <w:t>2</w:t>
      </w:r>
      <w:r w:rsidRPr="00732765">
        <w:rPr>
          <w:rFonts w:ascii="Arial" w:hAnsi="Arial" w:cs="Arial"/>
          <w:sz w:val="20"/>
          <w:szCs w:val="20"/>
        </w:rPr>
        <w:t xml:space="preserve"> </w:t>
      </w:r>
      <w:r w:rsidRPr="00092ECF">
        <w:rPr>
          <w:rFonts w:ascii="Arial" w:hAnsi="Arial" w:cs="Arial"/>
          <w:sz w:val="20"/>
          <w:szCs w:val="20"/>
        </w:rPr>
        <w:t>(</w:t>
      </w:r>
      <w:r w:rsidR="00B34456" w:rsidRPr="00092ECF">
        <w:rPr>
          <w:rFonts w:ascii="Arial" w:hAnsi="Arial" w:cs="Arial"/>
          <w:sz w:val="20"/>
          <w:szCs w:val="20"/>
        </w:rPr>
        <w:t>2</w:t>
      </w:r>
      <w:r w:rsidR="00092ECF" w:rsidRPr="00092ECF">
        <w:rPr>
          <w:rFonts w:ascii="Arial" w:hAnsi="Arial" w:cs="Arial"/>
          <w:sz w:val="20"/>
          <w:szCs w:val="20"/>
        </w:rPr>
        <w:t>2</w:t>
      </w:r>
      <w:r w:rsidR="00B34456" w:rsidRPr="00092ECF">
        <w:rPr>
          <w:rFonts w:ascii="Arial" w:hAnsi="Arial" w:cs="Arial"/>
          <w:sz w:val="20"/>
          <w:szCs w:val="20"/>
        </w:rPr>
        <w:t xml:space="preserve"> </w:t>
      </w:r>
      <w:r w:rsidR="00482C27" w:rsidRPr="00092ECF">
        <w:rPr>
          <w:rFonts w:ascii="Arial" w:hAnsi="Arial" w:cs="Arial"/>
          <w:sz w:val="20"/>
          <w:szCs w:val="20"/>
        </w:rPr>
        <w:t>April</w:t>
      </w:r>
      <w:r w:rsidRPr="00092ECF">
        <w:rPr>
          <w:rFonts w:ascii="Arial" w:hAnsi="Arial" w:cs="Arial"/>
          <w:sz w:val="20"/>
          <w:szCs w:val="20"/>
        </w:rPr>
        <w:t xml:space="preserve"> 20</w:t>
      </w:r>
      <w:r w:rsidR="00482C27" w:rsidRPr="00092ECF">
        <w:rPr>
          <w:rFonts w:ascii="Arial" w:hAnsi="Arial" w:cs="Arial"/>
          <w:sz w:val="20"/>
          <w:szCs w:val="20"/>
        </w:rPr>
        <w:t>2</w:t>
      </w:r>
      <w:r w:rsidR="00F05C28" w:rsidRPr="00092ECF">
        <w:rPr>
          <w:rFonts w:ascii="Arial" w:hAnsi="Arial" w:cs="Arial"/>
          <w:sz w:val="20"/>
          <w:szCs w:val="20"/>
        </w:rPr>
        <w:t>1</w:t>
      </w:r>
      <w:r w:rsidRPr="00092ECF">
        <w:rPr>
          <w:rFonts w:ascii="Arial" w:hAnsi="Arial" w:cs="Arial"/>
          <w:sz w:val="20"/>
          <w:szCs w:val="20"/>
        </w:rPr>
        <w:t>)</w:t>
      </w:r>
      <w:r w:rsidRPr="00732765">
        <w:rPr>
          <w:rFonts w:ascii="Arial" w:hAnsi="Arial" w:cs="Arial"/>
          <w:sz w:val="20"/>
          <w:szCs w:val="20"/>
        </w:rPr>
        <w:t xml:space="preserve"> </w:t>
      </w:r>
      <w:r w:rsidR="00810FA9">
        <w:rPr>
          <w:rFonts w:ascii="Arial" w:hAnsi="Arial" w:cs="Arial"/>
          <w:sz w:val="20"/>
          <w:szCs w:val="20"/>
        </w:rPr>
        <w:t xml:space="preserve">no adjustments </w:t>
      </w:r>
      <w:r w:rsidR="00A7152E">
        <w:rPr>
          <w:rFonts w:ascii="Arial" w:hAnsi="Arial" w:cs="Arial"/>
          <w:sz w:val="20"/>
          <w:szCs w:val="20"/>
        </w:rPr>
        <w:t>to th</w:t>
      </w:r>
      <w:r w:rsidRPr="00732765">
        <w:rPr>
          <w:rFonts w:ascii="Arial" w:hAnsi="Arial" w:cs="Arial"/>
          <w:sz w:val="20"/>
          <w:szCs w:val="20"/>
        </w:rPr>
        <w:t xml:space="preserve">e remuneration policy have been </w:t>
      </w:r>
      <w:r w:rsidR="00A7152E">
        <w:rPr>
          <w:rFonts w:ascii="Arial" w:hAnsi="Arial" w:cs="Arial"/>
          <w:sz w:val="20"/>
          <w:szCs w:val="20"/>
        </w:rPr>
        <w:t>proposed or agreed</w:t>
      </w:r>
      <w:r w:rsidR="006A11DF">
        <w:rPr>
          <w:rFonts w:ascii="Arial" w:hAnsi="Arial" w:cs="Arial"/>
          <w:sz w:val="20"/>
          <w:szCs w:val="20"/>
        </w:rPr>
        <w:t xml:space="preserve">. </w:t>
      </w:r>
    </w:p>
    <w:p w14:paraId="1561CC1A" w14:textId="77777777" w:rsidR="00732765" w:rsidRPr="00F97874" w:rsidRDefault="00732765" w:rsidP="00F97874">
      <w:pPr>
        <w:pStyle w:val="NoSpacing"/>
        <w:rPr>
          <w:rFonts w:ascii="Arial" w:hAnsi="Arial" w:cs="Arial"/>
          <w:sz w:val="20"/>
          <w:szCs w:val="20"/>
        </w:rPr>
      </w:pPr>
    </w:p>
    <w:p w14:paraId="2BFAE3E7" w14:textId="6582D077" w:rsidR="00FE464F" w:rsidRPr="00FE5290" w:rsidRDefault="00EC43BF" w:rsidP="00FD712F">
      <w:pPr>
        <w:pStyle w:val="NoSpacing"/>
        <w:ind w:right="-188"/>
        <w:rPr>
          <w:rFonts w:ascii="Arial" w:hAnsi="Arial" w:cs="Arial"/>
          <w:sz w:val="20"/>
          <w:szCs w:val="20"/>
        </w:rPr>
      </w:pPr>
      <w:r w:rsidRPr="00BD4633">
        <w:rPr>
          <w:rFonts w:ascii="Arial" w:hAnsi="Arial" w:cs="Arial"/>
          <w:sz w:val="20"/>
          <w:szCs w:val="20"/>
        </w:rPr>
        <w:t>As from</w:t>
      </w:r>
      <w:r w:rsidR="00D96419" w:rsidRPr="00BD4633">
        <w:rPr>
          <w:rFonts w:ascii="Arial" w:hAnsi="Arial" w:cs="Arial"/>
          <w:sz w:val="20"/>
          <w:szCs w:val="20"/>
        </w:rPr>
        <w:t xml:space="preserve"> </w:t>
      </w:r>
      <w:r w:rsidR="0043636E">
        <w:rPr>
          <w:rFonts w:ascii="Arial" w:hAnsi="Arial" w:cs="Arial"/>
          <w:sz w:val="20"/>
          <w:szCs w:val="20"/>
        </w:rPr>
        <w:t>March</w:t>
      </w:r>
      <w:r w:rsidR="0043636E" w:rsidRPr="00BD4633">
        <w:rPr>
          <w:rFonts w:ascii="Arial" w:hAnsi="Arial" w:cs="Arial"/>
          <w:sz w:val="20"/>
          <w:szCs w:val="20"/>
        </w:rPr>
        <w:t xml:space="preserve"> </w:t>
      </w:r>
      <w:r w:rsidR="00D96419" w:rsidRPr="00BD4633">
        <w:rPr>
          <w:rFonts w:ascii="Arial" w:hAnsi="Arial" w:cs="Arial"/>
          <w:sz w:val="20"/>
          <w:szCs w:val="20"/>
        </w:rPr>
        <w:t>1, 20</w:t>
      </w:r>
      <w:r w:rsidR="00732765" w:rsidRPr="00BD4633">
        <w:rPr>
          <w:rFonts w:ascii="Arial" w:hAnsi="Arial" w:cs="Arial"/>
          <w:sz w:val="20"/>
          <w:szCs w:val="20"/>
        </w:rPr>
        <w:t>2</w:t>
      </w:r>
      <w:r w:rsidR="006E651D">
        <w:rPr>
          <w:rFonts w:ascii="Arial" w:hAnsi="Arial" w:cs="Arial"/>
          <w:sz w:val="20"/>
          <w:szCs w:val="20"/>
        </w:rPr>
        <w:t>2</w:t>
      </w:r>
      <w:r w:rsidR="00D65831">
        <w:rPr>
          <w:rFonts w:ascii="Arial" w:hAnsi="Arial" w:cs="Arial"/>
          <w:sz w:val="20"/>
          <w:szCs w:val="20"/>
        </w:rPr>
        <w:t>,</w:t>
      </w:r>
      <w:r w:rsidR="00284B7E" w:rsidRPr="00BD4633">
        <w:rPr>
          <w:rFonts w:ascii="Arial" w:hAnsi="Arial" w:cs="Arial"/>
          <w:sz w:val="20"/>
          <w:szCs w:val="20"/>
        </w:rPr>
        <w:t xml:space="preserve"> the maximum </w:t>
      </w:r>
      <w:r w:rsidR="00FA2D68">
        <w:rPr>
          <w:rFonts w:ascii="Arial" w:hAnsi="Arial" w:cs="Arial"/>
          <w:sz w:val="20"/>
          <w:szCs w:val="20"/>
        </w:rPr>
        <w:t xml:space="preserve">annual </w:t>
      </w:r>
      <w:r w:rsidR="00284B7E" w:rsidRPr="00BD4633">
        <w:rPr>
          <w:rFonts w:ascii="Arial" w:hAnsi="Arial" w:cs="Arial"/>
          <w:sz w:val="20"/>
          <w:szCs w:val="20"/>
        </w:rPr>
        <w:t>sal</w:t>
      </w:r>
      <w:r w:rsidR="00D96419" w:rsidRPr="00BD4633">
        <w:rPr>
          <w:rFonts w:ascii="Arial" w:hAnsi="Arial" w:cs="Arial"/>
          <w:sz w:val="20"/>
          <w:szCs w:val="20"/>
        </w:rPr>
        <w:t xml:space="preserve">ary </w:t>
      </w:r>
      <w:r w:rsidR="000B56C2">
        <w:rPr>
          <w:rFonts w:ascii="Arial" w:hAnsi="Arial" w:cs="Arial"/>
          <w:sz w:val="20"/>
          <w:szCs w:val="20"/>
        </w:rPr>
        <w:t xml:space="preserve">for </w:t>
      </w:r>
      <w:r w:rsidR="00D96419" w:rsidRPr="00BD4633">
        <w:rPr>
          <w:rFonts w:ascii="Arial" w:hAnsi="Arial" w:cs="Arial"/>
          <w:sz w:val="20"/>
          <w:szCs w:val="20"/>
        </w:rPr>
        <w:t xml:space="preserve">the CEO is set at </w:t>
      </w:r>
      <w:r w:rsidR="00FD3FFD">
        <w:rPr>
          <w:rFonts w:ascii="Arial" w:hAnsi="Arial" w:cs="Arial"/>
          <w:sz w:val="20"/>
          <w:szCs w:val="20"/>
        </w:rPr>
        <w:t>€</w:t>
      </w:r>
      <w:r w:rsidR="00D96419" w:rsidRPr="00BD4633">
        <w:rPr>
          <w:rFonts w:ascii="Arial" w:hAnsi="Arial" w:cs="Arial"/>
          <w:sz w:val="20"/>
          <w:szCs w:val="20"/>
        </w:rPr>
        <w:t xml:space="preserve"> </w:t>
      </w:r>
      <w:r w:rsidR="00CC74C3">
        <w:rPr>
          <w:rFonts w:ascii="Arial" w:hAnsi="Arial" w:cs="Arial"/>
          <w:sz w:val="20"/>
          <w:szCs w:val="20"/>
        </w:rPr>
        <w:t>3</w:t>
      </w:r>
      <w:r w:rsidR="008722AF">
        <w:rPr>
          <w:rFonts w:ascii="Arial" w:hAnsi="Arial" w:cs="Arial"/>
          <w:sz w:val="20"/>
          <w:szCs w:val="20"/>
        </w:rPr>
        <w:t>00</w:t>
      </w:r>
      <w:r w:rsidR="00EE4645" w:rsidRPr="00BD4633">
        <w:rPr>
          <w:rFonts w:ascii="Arial" w:hAnsi="Arial" w:cs="Arial"/>
          <w:sz w:val="20"/>
          <w:szCs w:val="20"/>
        </w:rPr>
        <w:t>,</w:t>
      </w:r>
      <w:r w:rsidR="0043636E">
        <w:rPr>
          <w:rFonts w:ascii="Arial" w:hAnsi="Arial" w:cs="Arial"/>
          <w:sz w:val="20"/>
          <w:szCs w:val="20"/>
        </w:rPr>
        <w:t>362</w:t>
      </w:r>
      <w:r w:rsidR="0043636E" w:rsidRPr="00BD4633">
        <w:rPr>
          <w:rFonts w:ascii="Arial" w:hAnsi="Arial" w:cs="Arial"/>
          <w:sz w:val="20"/>
          <w:szCs w:val="20"/>
        </w:rPr>
        <w:t xml:space="preserve"> </w:t>
      </w:r>
      <w:r w:rsidR="003627E1" w:rsidRPr="00BD4633">
        <w:rPr>
          <w:rFonts w:ascii="Arial" w:hAnsi="Arial" w:cs="Arial"/>
          <w:sz w:val="20"/>
          <w:szCs w:val="20"/>
        </w:rPr>
        <w:t>gross</w:t>
      </w:r>
      <w:r w:rsidR="00284B7E" w:rsidRPr="00BD4633">
        <w:rPr>
          <w:rFonts w:ascii="Arial" w:hAnsi="Arial" w:cs="Arial"/>
          <w:sz w:val="20"/>
          <w:szCs w:val="20"/>
        </w:rPr>
        <w:t xml:space="preserve">. </w:t>
      </w:r>
      <w:r w:rsidR="00FA065C" w:rsidRPr="00FE5290">
        <w:rPr>
          <w:rFonts w:ascii="Arial" w:hAnsi="Arial" w:cs="Arial"/>
          <w:sz w:val="20"/>
          <w:szCs w:val="20"/>
        </w:rPr>
        <w:t>Members of the Management</w:t>
      </w:r>
      <w:r w:rsidR="00FE464F" w:rsidRPr="00FE5290">
        <w:rPr>
          <w:rFonts w:ascii="Arial" w:hAnsi="Arial" w:cs="Arial"/>
          <w:sz w:val="20"/>
          <w:szCs w:val="20"/>
        </w:rPr>
        <w:t xml:space="preserve"> Board are not entitled to an</w:t>
      </w:r>
      <w:r w:rsidR="008E3DEC" w:rsidRPr="00FE5290">
        <w:rPr>
          <w:rFonts w:ascii="Arial" w:hAnsi="Arial" w:cs="Arial"/>
          <w:sz w:val="20"/>
          <w:szCs w:val="20"/>
        </w:rPr>
        <w:t>y form of variable remuneration</w:t>
      </w:r>
      <w:r w:rsidR="00FE464F" w:rsidRPr="00FE5290">
        <w:rPr>
          <w:rFonts w:ascii="Arial" w:hAnsi="Arial" w:cs="Arial"/>
          <w:sz w:val="20"/>
          <w:szCs w:val="20"/>
        </w:rPr>
        <w:t xml:space="preserve">. </w:t>
      </w:r>
    </w:p>
    <w:p w14:paraId="2B5CAB90" w14:textId="21B74533" w:rsidR="007C6417" w:rsidRDefault="00FE464F" w:rsidP="006A116C">
      <w:pPr>
        <w:rPr>
          <w:rFonts w:ascii="Arial" w:hAnsi="Arial" w:cs="Arial"/>
          <w:sz w:val="20"/>
          <w:szCs w:val="20"/>
        </w:rPr>
      </w:pPr>
      <w:r w:rsidRPr="00FE5290">
        <w:rPr>
          <w:rFonts w:ascii="Arial" w:hAnsi="Arial" w:cs="Arial"/>
          <w:sz w:val="20"/>
          <w:szCs w:val="20"/>
        </w:rPr>
        <w:t xml:space="preserve">Other elements of the remuneration consist of a pension scheme </w:t>
      </w:r>
      <w:r w:rsidR="00EE4645" w:rsidRPr="00FE5290">
        <w:rPr>
          <w:rFonts w:ascii="Arial" w:hAnsi="Arial" w:cs="Arial"/>
          <w:sz w:val="20"/>
          <w:szCs w:val="20"/>
        </w:rPr>
        <w:t>(</w:t>
      </w:r>
      <w:r w:rsidR="001F340D">
        <w:rPr>
          <w:rFonts w:ascii="Arial" w:hAnsi="Arial" w:cs="Arial"/>
          <w:sz w:val="20"/>
          <w:szCs w:val="20"/>
        </w:rPr>
        <w:t xml:space="preserve">based on a </w:t>
      </w:r>
      <w:r w:rsidR="000B56C2">
        <w:rPr>
          <w:rFonts w:ascii="Arial" w:hAnsi="Arial" w:cs="Arial"/>
          <w:sz w:val="20"/>
          <w:szCs w:val="20"/>
        </w:rPr>
        <w:t xml:space="preserve">defined </w:t>
      </w:r>
      <w:r w:rsidR="001F340D">
        <w:rPr>
          <w:rFonts w:ascii="Arial" w:hAnsi="Arial" w:cs="Arial"/>
          <w:sz w:val="20"/>
          <w:szCs w:val="20"/>
        </w:rPr>
        <w:t>contribution and</w:t>
      </w:r>
      <w:r w:rsidR="00EE4645" w:rsidRPr="00FE5290">
        <w:rPr>
          <w:rFonts w:ascii="Arial" w:hAnsi="Arial" w:cs="Arial"/>
          <w:sz w:val="20"/>
          <w:szCs w:val="20"/>
        </w:rPr>
        <w:t xml:space="preserve"> a retirement age of 68</w:t>
      </w:r>
      <w:r w:rsidR="00A971B3" w:rsidRPr="00FE5290">
        <w:rPr>
          <w:rFonts w:ascii="Arial" w:hAnsi="Arial" w:cs="Arial"/>
          <w:sz w:val="20"/>
          <w:szCs w:val="20"/>
        </w:rPr>
        <w:t xml:space="preserve"> years</w:t>
      </w:r>
      <w:r w:rsidR="00EE4645" w:rsidRPr="00FE5290">
        <w:rPr>
          <w:rFonts w:ascii="Arial" w:hAnsi="Arial" w:cs="Arial"/>
          <w:sz w:val="20"/>
          <w:szCs w:val="20"/>
        </w:rPr>
        <w:t>, as of January</w:t>
      </w:r>
      <w:r w:rsidR="007C6417">
        <w:rPr>
          <w:rFonts w:ascii="Arial" w:hAnsi="Arial" w:cs="Arial"/>
          <w:sz w:val="20"/>
          <w:szCs w:val="20"/>
        </w:rPr>
        <w:t xml:space="preserve"> 1,</w:t>
      </w:r>
      <w:r w:rsidR="00EE4645" w:rsidRPr="00FE5290">
        <w:rPr>
          <w:rFonts w:ascii="Arial" w:hAnsi="Arial" w:cs="Arial"/>
          <w:sz w:val="20"/>
          <w:szCs w:val="20"/>
        </w:rPr>
        <w:t xml:space="preserve"> 20</w:t>
      </w:r>
      <w:r w:rsidR="00AF74A5">
        <w:rPr>
          <w:rFonts w:ascii="Arial" w:hAnsi="Arial" w:cs="Arial"/>
          <w:sz w:val="20"/>
          <w:szCs w:val="20"/>
        </w:rPr>
        <w:t>22</w:t>
      </w:r>
      <w:r w:rsidR="00A971B3" w:rsidRPr="00FE5290">
        <w:rPr>
          <w:rFonts w:ascii="Arial" w:hAnsi="Arial" w:cs="Arial"/>
          <w:sz w:val="20"/>
          <w:szCs w:val="20"/>
        </w:rPr>
        <w:t>)</w:t>
      </w:r>
      <w:r w:rsidR="00BE3404">
        <w:rPr>
          <w:rFonts w:ascii="Arial" w:hAnsi="Arial" w:cs="Arial"/>
          <w:sz w:val="20"/>
          <w:szCs w:val="20"/>
        </w:rPr>
        <w:t xml:space="preserve">, the same scheme </w:t>
      </w:r>
      <w:r w:rsidR="000B7712">
        <w:rPr>
          <w:rFonts w:ascii="Arial" w:hAnsi="Arial" w:cs="Arial"/>
          <w:sz w:val="20"/>
          <w:szCs w:val="20"/>
        </w:rPr>
        <w:t xml:space="preserve">applicable to </w:t>
      </w:r>
      <w:r w:rsidR="00BE3404">
        <w:rPr>
          <w:rFonts w:ascii="Arial" w:hAnsi="Arial" w:cs="Arial"/>
          <w:sz w:val="20"/>
          <w:szCs w:val="20"/>
        </w:rPr>
        <w:t>all staff members of FMO</w:t>
      </w:r>
      <w:r w:rsidR="000B7712">
        <w:rPr>
          <w:rFonts w:ascii="Arial" w:hAnsi="Arial" w:cs="Arial"/>
          <w:sz w:val="20"/>
          <w:szCs w:val="20"/>
        </w:rPr>
        <w:t>. Furthermore</w:t>
      </w:r>
      <w:r w:rsidR="00A971B3" w:rsidRPr="00FE5290">
        <w:rPr>
          <w:rFonts w:ascii="Arial" w:hAnsi="Arial" w:cs="Arial"/>
          <w:sz w:val="20"/>
          <w:szCs w:val="20"/>
        </w:rPr>
        <w:t xml:space="preserve">, the option to make use of a </w:t>
      </w:r>
      <w:r w:rsidR="00264B17">
        <w:rPr>
          <w:rFonts w:ascii="Arial" w:hAnsi="Arial" w:cs="Arial"/>
          <w:sz w:val="20"/>
          <w:szCs w:val="20"/>
        </w:rPr>
        <w:t xml:space="preserve">NS Business card (for public transport) </w:t>
      </w:r>
      <w:r w:rsidR="00791940">
        <w:rPr>
          <w:rFonts w:ascii="Arial" w:hAnsi="Arial" w:cs="Arial"/>
          <w:sz w:val="20"/>
          <w:szCs w:val="20"/>
        </w:rPr>
        <w:t>or a fixed</w:t>
      </w:r>
      <w:r w:rsidR="00B238F6">
        <w:rPr>
          <w:rFonts w:ascii="Arial" w:hAnsi="Arial" w:cs="Arial"/>
          <w:sz w:val="20"/>
          <w:szCs w:val="20"/>
        </w:rPr>
        <w:t xml:space="preserve"> </w:t>
      </w:r>
      <w:r w:rsidR="00791940">
        <w:rPr>
          <w:rFonts w:ascii="Arial" w:hAnsi="Arial" w:cs="Arial"/>
          <w:sz w:val="20"/>
          <w:szCs w:val="20"/>
        </w:rPr>
        <w:t xml:space="preserve">monthly </w:t>
      </w:r>
      <w:r w:rsidR="00B238F6">
        <w:rPr>
          <w:rFonts w:ascii="Arial" w:hAnsi="Arial" w:cs="Arial"/>
          <w:sz w:val="20"/>
          <w:szCs w:val="20"/>
        </w:rPr>
        <w:t>mobility allowance</w:t>
      </w:r>
      <w:r w:rsidR="00BE3404">
        <w:rPr>
          <w:rFonts w:ascii="Arial" w:hAnsi="Arial" w:cs="Arial"/>
          <w:sz w:val="20"/>
          <w:szCs w:val="20"/>
        </w:rPr>
        <w:t xml:space="preserve"> and </w:t>
      </w:r>
      <w:r w:rsidR="00A971B3" w:rsidRPr="00FE5290">
        <w:rPr>
          <w:rFonts w:ascii="Arial" w:hAnsi="Arial" w:cs="Arial"/>
          <w:sz w:val="20"/>
          <w:szCs w:val="20"/>
        </w:rPr>
        <w:t>a fixed expense allowance to cover costs relating to the performance of their duties</w:t>
      </w:r>
      <w:r w:rsidR="00A27AEA" w:rsidRPr="00FE5290">
        <w:rPr>
          <w:rFonts w:ascii="Arial" w:hAnsi="Arial" w:cs="Arial"/>
          <w:sz w:val="20"/>
          <w:szCs w:val="20"/>
        </w:rPr>
        <w:t>.</w:t>
      </w:r>
      <w:r w:rsidR="00B238F6" w:rsidRPr="00B238F6">
        <w:rPr>
          <w:rFonts w:ascii="Arial" w:hAnsi="Arial" w:cs="Arial"/>
          <w:sz w:val="20"/>
          <w:szCs w:val="20"/>
        </w:rPr>
        <w:t xml:space="preserve"> </w:t>
      </w:r>
    </w:p>
    <w:p w14:paraId="25A0FC37" w14:textId="0C144575" w:rsidR="00C55796" w:rsidRDefault="00C55796" w:rsidP="006A116C">
      <w:pPr>
        <w:rPr>
          <w:rFonts w:ascii="Arial" w:hAnsi="Arial" w:cs="Arial"/>
          <w:sz w:val="20"/>
          <w:szCs w:val="20"/>
        </w:rPr>
      </w:pPr>
      <w:r w:rsidRPr="00C55796">
        <w:rPr>
          <w:rFonts w:ascii="Arial" w:hAnsi="Arial" w:cs="Arial"/>
          <w:sz w:val="20"/>
          <w:szCs w:val="20"/>
        </w:rPr>
        <w:t xml:space="preserve">Employees </w:t>
      </w:r>
      <w:r w:rsidR="0040174E">
        <w:rPr>
          <w:rFonts w:ascii="Arial" w:hAnsi="Arial" w:cs="Arial"/>
          <w:sz w:val="20"/>
          <w:szCs w:val="20"/>
        </w:rPr>
        <w:t xml:space="preserve">already </w:t>
      </w:r>
      <w:r w:rsidRPr="00C55796">
        <w:rPr>
          <w:rFonts w:ascii="Arial" w:hAnsi="Arial" w:cs="Arial"/>
          <w:sz w:val="20"/>
          <w:szCs w:val="20"/>
        </w:rPr>
        <w:t xml:space="preserve">employed by FMO in 2016, continue </w:t>
      </w:r>
      <w:r w:rsidR="0040174E">
        <w:rPr>
          <w:rFonts w:ascii="Arial" w:hAnsi="Arial" w:cs="Arial"/>
          <w:sz w:val="20"/>
          <w:szCs w:val="20"/>
        </w:rPr>
        <w:t xml:space="preserve">- if applicable - </w:t>
      </w:r>
      <w:r w:rsidRPr="00C55796">
        <w:rPr>
          <w:rFonts w:ascii="Arial" w:hAnsi="Arial" w:cs="Arial"/>
          <w:sz w:val="20"/>
          <w:szCs w:val="20"/>
        </w:rPr>
        <w:t>to benefit from an existing fixed individual allowance for retirement (compensation as effect of changes in the Dutch tax framework regarding pension regulations</w:t>
      </w:r>
      <w:r w:rsidR="00163DAA">
        <w:rPr>
          <w:rFonts w:ascii="Arial" w:hAnsi="Arial" w:cs="Arial"/>
          <w:sz w:val="20"/>
          <w:szCs w:val="20"/>
        </w:rPr>
        <w:t xml:space="preserve"> as from 2016</w:t>
      </w:r>
      <w:r w:rsidRPr="00C55796">
        <w:rPr>
          <w:rFonts w:ascii="Arial" w:hAnsi="Arial" w:cs="Arial"/>
          <w:sz w:val="20"/>
          <w:szCs w:val="20"/>
        </w:rPr>
        <w:t>) and/or</w:t>
      </w:r>
      <w:r w:rsidR="0040174E">
        <w:rPr>
          <w:rFonts w:ascii="Arial" w:hAnsi="Arial" w:cs="Arial"/>
          <w:sz w:val="20"/>
          <w:szCs w:val="20"/>
        </w:rPr>
        <w:t xml:space="preserve"> - if applicable - </w:t>
      </w:r>
      <w:r w:rsidRPr="00C55796">
        <w:rPr>
          <w:rFonts w:ascii="Arial" w:hAnsi="Arial" w:cs="Arial"/>
          <w:sz w:val="20"/>
          <w:szCs w:val="20"/>
        </w:rPr>
        <w:t>a reimbursement of a proportion of a mortgage interest.</w:t>
      </w:r>
    </w:p>
    <w:p w14:paraId="3079F6E3" w14:textId="382F182A" w:rsidR="008B7CDD" w:rsidRPr="00FE5290" w:rsidRDefault="00034D4B" w:rsidP="006A116C">
      <w:pPr>
        <w:rPr>
          <w:rFonts w:ascii="Arial" w:hAnsi="Arial" w:cs="Arial"/>
          <w:sz w:val="20"/>
          <w:szCs w:val="20"/>
        </w:rPr>
      </w:pPr>
      <w:r w:rsidRPr="00FE5290">
        <w:rPr>
          <w:rFonts w:ascii="Arial" w:hAnsi="Arial" w:cs="Arial"/>
          <w:sz w:val="20"/>
          <w:szCs w:val="20"/>
        </w:rPr>
        <w:t>Members of the Management Board will be appointed for a period of 4 years and can be re-appointed</w:t>
      </w:r>
      <w:r w:rsidR="0040174E">
        <w:rPr>
          <w:rFonts w:ascii="Arial" w:hAnsi="Arial" w:cs="Arial"/>
          <w:sz w:val="20"/>
          <w:szCs w:val="20"/>
        </w:rPr>
        <w:t xml:space="preserve"> </w:t>
      </w:r>
      <w:r w:rsidR="00673626">
        <w:rPr>
          <w:rFonts w:ascii="Arial" w:hAnsi="Arial" w:cs="Arial"/>
          <w:sz w:val="20"/>
          <w:szCs w:val="20"/>
        </w:rPr>
        <w:t>in the same role</w:t>
      </w:r>
      <w:r w:rsidRPr="00FE5290">
        <w:rPr>
          <w:rFonts w:ascii="Arial" w:hAnsi="Arial" w:cs="Arial"/>
          <w:sz w:val="20"/>
          <w:szCs w:val="20"/>
        </w:rPr>
        <w:t xml:space="preserve">. </w:t>
      </w:r>
      <w:r w:rsidR="000E5335" w:rsidRPr="00FE5290">
        <w:rPr>
          <w:rFonts w:ascii="Arial" w:hAnsi="Arial" w:cs="Arial"/>
          <w:sz w:val="20"/>
          <w:szCs w:val="20"/>
        </w:rPr>
        <w:t>Welcome, retention and exit arrangement</w:t>
      </w:r>
      <w:r w:rsidR="00536703" w:rsidRPr="00FE5290">
        <w:rPr>
          <w:rFonts w:ascii="Arial" w:hAnsi="Arial" w:cs="Arial"/>
          <w:sz w:val="20"/>
          <w:szCs w:val="20"/>
        </w:rPr>
        <w:t>s (if applicable)</w:t>
      </w:r>
      <w:r w:rsidR="000E5335" w:rsidRPr="00FE5290">
        <w:rPr>
          <w:rFonts w:ascii="Arial" w:hAnsi="Arial" w:cs="Arial"/>
          <w:sz w:val="20"/>
          <w:szCs w:val="20"/>
        </w:rPr>
        <w:t xml:space="preserve"> are reviewed by the SARC and</w:t>
      </w:r>
      <w:r w:rsidR="00180314" w:rsidRPr="00FE5290">
        <w:rPr>
          <w:rFonts w:ascii="Arial" w:hAnsi="Arial" w:cs="Arial"/>
          <w:sz w:val="20"/>
          <w:szCs w:val="20"/>
        </w:rPr>
        <w:t xml:space="preserve"> in </w:t>
      </w:r>
      <w:r w:rsidR="000E5335" w:rsidRPr="00FE5290">
        <w:rPr>
          <w:rFonts w:ascii="Arial" w:hAnsi="Arial" w:cs="Arial"/>
          <w:sz w:val="20"/>
          <w:szCs w:val="20"/>
        </w:rPr>
        <w:t xml:space="preserve">alignment with the approved remuneration policy and </w:t>
      </w:r>
      <w:r w:rsidR="00180314" w:rsidRPr="00FE5290">
        <w:rPr>
          <w:rFonts w:ascii="Arial" w:hAnsi="Arial" w:cs="Arial"/>
          <w:sz w:val="20"/>
          <w:szCs w:val="20"/>
        </w:rPr>
        <w:t xml:space="preserve">will </w:t>
      </w:r>
      <w:r w:rsidR="000E5335" w:rsidRPr="00FE5290">
        <w:rPr>
          <w:rFonts w:ascii="Arial" w:hAnsi="Arial" w:cs="Arial"/>
          <w:sz w:val="20"/>
          <w:szCs w:val="20"/>
        </w:rPr>
        <w:t xml:space="preserve">not </w:t>
      </w:r>
      <w:r w:rsidR="00180314" w:rsidRPr="00FE5290">
        <w:rPr>
          <w:rFonts w:ascii="Arial" w:hAnsi="Arial" w:cs="Arial"/>
          <w:sz w:val="20"/>
          <w:szCs w:val="20"/>
        </w:rPr>
        <w:t xml:space="preserve">be </w:t>
      </w:r>
      <w:r w:rsidR="000E5335" w:rsidRPr="00FE5290">
        <w:rPr>
          <w:rFonts w:ascii="Arial" w:hAnsi="Arial" w:cs="Arial"/>
          <w:sz w:val="20"/>
          <w:szCs w:val="20"/>
        </w:rPr>
        <w:t xml:space="preserve">excessive. </w:t>
      </w:r>
      <w:r w:rsidR="00A971B3" w:rsidRPr="00FE5290">
        <w:rPr>
          <w:rFonts w:ascii="Arial" w:hAnsi="Arial" w:cs="Arial"/>
          <w:sz w:val="20"/>
          <w:szCs w:val="20"/>
        </w:rPr>
        <w:t>Furthermore</w:t>
      </w:r>
      <w:r w:rsidR="005A5D2E" w:rsidRPr="00FE5290">
        <w:rPr>
          <w:rFonts w:ascii="Arial" w:hAnsi="Arial" w:cs="Arial"/>
          <w:sz w:val="20"/>
          <w:szCs w:val="20"/>
        </w:rPr>
        <w:t>,</w:t>
      </w:r>
      <w:r w:rsidR="00A971B3" w:rsidRPr="00FE5290">
        <w:rPr>
          <w:rFonts w:ascii="Arial" w:hAnsi="Arial" w:cs="Arial"/>
          <w:sz w:val="20"/>
          <w:szCs w:val="20"/>
        </w:rPr>
        <w:t xml:space="preserve"> FMO complies with all existing laws and regulations concerning the level of severance payments</w:t>
      </w:r>
      <w:r w:rsidR="00180314" w:rsidRPr="00FE5290">
        <w:rPr>
          <w:rFonts w:ascii="Arial" w:hAnsi="Arial" w:cs="Arial"/>
          <w:sz w:val="20"/>
          <w:szCs w:val="20"/>
        </w:rPr>
        <w:t xml:space="preserve"> (</w:t>
      </w:r>
      <w:r w:rsidR="00732765">
        <w:rPr>
          <w:rFonts w:ascii="Arial" w:hAnsi="Arial" w:cs="Arial"/>
          <w:sz w:val="20"/>
          <w:szCs w:val="20"/>
        </w:rPr>
        <w:t>maximum of one annual salary).</w:t>
      </w:r>
    </w:p>
    <w:p w14:paraId="137328B5" w14:textId="66D4CC7F" w:rsidR="00BA52D1" w:rsidRDefault="00C364CB" w:rsidP="002F6980">
      <w:pPr>
        <w:rPr>
          <w:rFonts w:ascii="Arial" w:hAnsi="Arial" w:cs="Arial"/>
          <w:sz w:val="20"/>
          <w:szCs w:val="20"/>
        </w:rPr>
      </w:pPr>
      <w:r>
        <w:rPr>
          <w:rFonts w:ascii="Arial" w:hAnsi="Arial" w:cs="Arial"/>
          <w:sz w:val="20"/>
          <w:szCs w:val="20"/>
        </w:rPr>
        <w:t>In</w:t>
      </w:r>
      <w:r w:rsidR="003835AB" w:rsidRPr="0016139F">
        <w:rPr>
          <w:rFonts w:ascii="Arial" w:hAnsi="Arial" w:cs="Arial"/>
          <w:sz w:val="20"/>
          <w:szCs w:val="20"/>
        </w:rPr>
        <w:t xml:space="preserve"> 202</w:t>
      </w:r>
      <w:r>
        <w:rPr>
          <w:rFonts w:ascii="Arial" w:hAnsi="Arial" w:cs="Arial"/>
          <w:sz w:val="20"/>
          <w:szCs w:val="20"/>
        </w:rPr>
        <w:t>2</w:t>
      </w:r>
      <w:r w:rsidR="003835AB" w:rsidRPr="0016139F">
        <w:rPr>
          <w:rFonts w:ascii="Arial" w:hAnsi="Arial" w:cs="Arial"/>
          <w:sz w:val="20"/>
          <w:szCs w:val="20"/>
        </w:rPr>
        <w:t xml:space="preserve"> </w:t>
      </w:r>
      <w:r w:rsidR="00196A6F" w:rsidRPr="0016139F">
        <w:rPr>
          <w:rFonts w:ascii="Arial" w:hAnsi="Arial" w:cs="Arial"/>
          <w:sz w:val="20"/>
          <w:szCs w:val="20"/>
        </w:rPr>
        <w:t xml:space="preserve">the Management Board </w:t>
      </w:r>
      <w:r>
        <w:rPr>
          <w:rFonts w:ascii="Arial" w:hAnsi="Arial" w:cs="Arial"/>
          <w:sz w:val="20"/>
          <w:szCs w:val="20"/>
        </w:rPr>
        <w:t xml:space="preserve">has been extended with two </w:t>
      </w:r>
      <w:r w:rsidR="00C8683B">
        <w:rPr>
          <w:rFonts w:ascii="Arial" w:hAnsi="Arial" w:cs="Arial"/>
          <w:sz w:val="20"/>
          <w:szCs w:val="20"/>
        </w:rPr>
        <w:t>additional members. The Management Board consist of a Chief Executive Officer</w:t>
      </w:r>
      <w:r w:rsidR="00055C1E">
        <w:rPr>
          <w:rFonts w:ascii="Arial" w:hAnsi="Arial" w:cs="Arial"/>
          <w:sz w:val="20"/>
          <w:szCs w:val="20"/>
        </w:rPr>
        <w:t xml:space="preserve"> (CEO)</w:t>
      </w:r>
      <w:r w:rsidR="00C8683B">
        <w:rPr>
          <w:rFonts w:ascii="Arial" w:hAnsi="Arial" w:cs="Arial"/>
          <w:sz w:val="20"/>
          <w:szCs w:val="20"/>
        </w:rPr>
        <w:t>, two Co-Chief Investment Officers</w:t>
      </w:r>
      <w:r w:rsidR="00055C1E">
        <w:rPr>
          <w:rFonts w:ascii="Arial" w:hAnsi="Arial" w:cs="Arial"/>
          <w:sz w:val="20"/>
          <w:szCs w:val="20"/>
        </w:rPr>
        <w:t xml:space="preserve"> (CCIO)</w:t>
      </w:r>
      <w:r w:rsidR="00C8683B">
        <w:rPr>
          <w:rFonts w:ascii="Arial" w:hAnsi="Arial" w:cs="Arial"/>
          <w:sz w:val="20"/>
          <w:szCs w:val="20"/>
        </w:rPr>
        <w:t xml:space="preserve">, a Chief Risk Officer </w:t>
      </w:r>
      <w:r w:rsidR="00C20BDF">
        <w:rPr>
          <w:rFonts w:ascii="Arial" w:hAnsi="Arial" w:cs="Arial"/>
          <w:sz w:val="20"/>
          <w:szCs w:val="20"/>
        </w:rPr>
        <w:t xml:space="preserve">(CRO) </w:t>
      </w:r>
      <w:r w:rsidR="00C8683B">
        <w:rPr>
          <w:rFonts w:ascii="Arial" w:hAnsi="Arial" w:cs="Arial"/>
          <w:sz w:val="20"/>
          <w:szCs w:val="20"/>
        </w:rPr>
        <w:t xml:space="preserve">and a Chief </w:t>
      </w:r>
      <w:r w:rsidR="00C20BDF">
        <w:rPr>
          <w:rFonts w:ascii="Arial" w:hAnsi="Arial" w:cs="Arial"/>
          <w:sz w:val="20"/>
          <w:szCs w:val="20"/>
        </w:rPr>
        <w:t>Finance and Operations Officer (CFOO</w:t>
      </w:r>
      <w:r w:rsidR="002F6980" w:rsidRPr="0016139F">
        <w:rPr>
          <w:rFonts w:ascii="Arial" w:hAnsi="Arial" w:cs="Arial"/>
          <w:sz w:val="20"/>
          <w:szCs w:val="20"/>
        </w:rPr>
        <w:t>.</w:t>
      </w:r>
      <w:r w:rsidR="005B69C1" w:rsidRPr="0016139F">
        <w:rPr>
          <w:rFonts w:ascii="Arial" w:hAnsi="Arial" w:cs="Arial"/>
          <w:sz w:val="20"/>
          <w:szCs w:val="20"/>
        </w:rPr>
        <w:t xml:space="preserve"> </w:t>
      </w:r>
    </w:p>
    <w:p w14:paraId="0CB61967" w14:textId="77777777" w:rsidR="00D65831" w:rsidRPr="00D65831" w:rsidRDefault="00D65831" w:rsidP="002F6980">
      <w:pPr>
        <w:rPr>
          <w:rFonts w:ascii="Arial" w:hAnsi="Arial" w:cs="Arial"/>
          <w:sz w:val="20"/>
          <w:szCs w:val="20"/>
        </w:rPr>
      </w:pPr>
    </w:p>
    <w:p w14:paraId="14F1C852" w14:textId="0B93C5CA" w:rsidR="00F460DE" w:rsidRPr="00FE5290" w:rsidRDefault="00F460DE" w:rsidP="002F6980">
      <w:pPr>
        <w:rPr>
          <w:rFonts w:ascii="Arial" w:hAnsi="Arial" w:cs="Arial"/>
          <w:b/>
          <w:sz w:val="20"/>
          <w:szCs w:val="20"/>
        </w:rPr>
      </w:pPr>
      <w:r w:rsidRPr="00FE5290">
        <w:rPr>
          <w:rFonts w:ascii="Arial" w:hAnsi="Arial" w:cs="Arial"/>
          <w:b/>
          <w:sz w:val="20"/>
          <w:szCs w:val="20"/>
        </w:rPr>
        <w:t>Remuneration P</w:t>
      </w:r>
      <w:r w:rsidR="00603AC1">
        <w:rPr>
          <w:rFonts w:ascii="Arial" w:hAnsi="Arial" w:cs="Arial"/>
          <w:b/>
          <w:sz w:val="20"/>
          <w:szCs w:val="20"/>
        </w:rPr>
        <w:t>ractice Identified Staff in 20</w:t>
      </w:r>
      <w:r w:rsidR="004E70A5">
        <w:rPr>
          <w:rFonts w:ascii="Arial" w:hAnsi="Arial" w:cs="Arial"/>
          <w:b/>
          <w:sz w:val="20"/>
          <w:szCs w:val="20"/>
        </w:rPr>
        <w:t>2</w:t>
      </w:r>
      <w:r w:rsidR="00055C1E">
        <w:rPr>
          <w:rFonts w:ascii="Arial" w:hAnsi="Arial" w:cs="Arial"/>
          <w:b/>
          <w:sz w:val="20"/>
          <w:szCs w:val="20"/>
        </w:rPr>
        <w:t>2</w:t>
      </w:r>
    </w:p>
    <w:p w14:paraId="1A9EAF4F" w14:textId="2B941859" w:rsidR="00B47300" w:rsidRPr="00FE5290" w:rsidRDefault="008E3DEC">
      <w:pPr>
        <w:rPr>
          <w:rFonts w:ascii="Arial" w:hAnsi="Arial" w:cs="Arial"/>
          <w:sz w:val="20"/>
          <w:szCs w:val="20"/>
        </w:rPr>
      </w:pPr>
      <w:r w:rsidRPr="00FE5290">
        <w:rPr>
          <w:rFonts w:ascii="Arial" w:hAnsi="Arial" w:cs="Arial"/>
          <w:sz w:val="20"/>
          <w:szCs w:val="20"/>
        </w:rPr>
        <w:t>The tota</w:t>
      </w:r>
      <w:r w:rsidR="00D96419">
        <w:rPr>
          <w:rFonts w:ascii="Arial" w:hAnsi="Arial" w:cs="Arial"/>
          <w:sz w:val="20"/>
          <w:szCs w:val="20"/>
        </w:rPr>
        <w:t>l base salary in 20</w:t>
      </w:r>
      <w:r w:rsidR="00A161D9">
        <w:rPr>
          <w:rFonts w:ascii="Arial" w:hAnsi="Arial" w:cs="Arial"/>
          <w:sz w:val="20"/>
          <w:szCs w:val="20"/>
        </w:rPr>
        <w:t>2</w:t>
      </w:r>
      <w:r w:rsidR="006C7CFD">
        <w:rPr>
          <w:rFonts w:ascii="Arial" w:hAnsi="Arial" w:cs="Arial"/>
          <w:sz w:val="20"/>
          <w:szCs w:val="20"/>
        </w:rPr>
        <w:t>2</w:t>
      </w:r>
      <w:r w:rsidR="00A314AF" w:rsidRPr="00FE5290">
        <w:rPr>
          <w:rFonts w:ascii="Arial" w:hAnsi="Arial" w:cs="Arial"/>
          <w:sz w:val="20"/>
          <w:szCs w:val="20"/>
        </w:rPr>
        <w:t xml:space="preserve"> of the Management Board of FMO </w:t>
      </w:r>
      <w:r w:rsidR="00A314AF" w:rsidRPr="00C4422D">
        <w:rPr>
          <w:rFonts w:ascii="Arial" w:hAnsi="Arial" w:cs="Arial"/>
          <w:sz w:val="20"/>
          <w:szCs w:val="20"/>
        </w:rPr>
        <w:t xml:space="preserve">amounts </w:t>
      </w:r>
      <w:r w:rsidR="00FD3FFD">
        <w:rPr>
          <w:rFonts w:ascii="Arial" w:hAnsi="Arial" w:cs="Arial"/>
          <w:sz w:val="20"/>
          <w:szCs w:val="20"/>
        </w:rPr>
        <w:t>€</w:t>
      </w:r>
      <w:r w:rsidR="00A314AF" w:rsidRPr="00C4422D">
        <w:rPr>
          <w:rFonts w:ascii="Arial" w:hAnsi="Arial" w:cs="Arial"/>
          <w:sz w:val="20"/>
          <w:szCs w:val="20"/>
        </w:rPr>
        <w:t xml:space="preserve"> </w:t>
      </w:r>
      <w:r w:rsidR="006C7CFD">
        <w:rPr>
          <w:rFonts w:ascii="Arial" w:hAnsi="Arial" w:cs="Arial"/>
          <w:sz w:val="20"/>
          <w:szCs w:val="20"/>
        </w:rPr>
        <w:t>914</w:t>
      </w:r>
      <w:r w:rsidR="00DC1043" w:rsidRPr="00C4422D">
        <w:rPr>
          <w:rFonts w:ascii="Arial" w:hAnsi="Arial" w:cs="Arial"/>
          <w:sz w:val="20"/>
          <w:szCs w:val="20"/>
        </w:rPr>
        <w:t>,</w:t>
      </w:r>
      <w:r w:rsidR="004A23A9">
        <w:rPr>
          <w:rFonts w:ascii="Arial" w:hAnsi="Arial" w:cs="Arial"/>
          <w:sz w:val="20"/>
          <w:szCs w:val="20"/>
        </w:rPr>
        <w:t>000</w:t>
      </w:r>
      <w:r w:rsidR="00A314AF" w:rsidRPr="00C4422D">
        <w:rPr>
          <w:rFonts w:ascii="Arial" w:hAnsi="Arial" w:cs="Arial"/>
          <w:sz w:val="20"/>
          <w:szCs w:val="20"/>
        </w:rPr>
        <w:t>. The costs for the total pension a</w:t>
      </w:r>
      <w:r w:rsidR="00EC43BF" w:rsidRPr="00C4422D">
        <w:rPr>
          <w:rFonts w:ascii="Arial" w:hAnsi="Arial" w:cs="Arial"/>
          <w:sz w:val="20"/>
          <w:szCs w:val="20"/>
        </w:rPr>
        <w:t xml:space="preserve">ccrual </w:t>
      </w:r>
      <w:r w:rsidR="00B238F6" w:rsidRPr="00C4422D">
        <w:rPr>
          <w:rFonts w:ascii="Arial" w:hAnsi="Arial" w:cs="Arial"/>
          <w:sz w:val="20"/>
          <w:szCs w:val="20"/>
        </w:rPr>
        <w:t xml:space="preserve">- </w:t>
      </w:r>
      <w:r w:rsidR="00EC43BF" w:rsidRPr="00C4422D">
        <w:rPr>
          <w:rFonts w:ascii="Arial" w:hAnsi="Arial" w:cs="Arial"/>
          <w:sz w:val="20"/>
          <w:szCs w:val="20"/>
        </w:rPr>
        <w:t xml:space="preserve">up to a </w:t>
      </w:r>
      <w:r w:rsidR="00B238F6" w:rsidRPr="00C4422D">
        <w:rPr>
          <w:rFonts w:ascii="Arial" w:hAnsi="Arial" w:cs="Arial"/>
          <w:sz w:val="20"/>
          <w:szCs w:val="20"/>
        </w:rPr>
        <w:t xml:space="preserve">fixed annual </w:t>
      </w:r>
      <w:r w:rsidR="00EC43BF" w:rsidRPr="00C4422D">
        <w:rPr>
          <w:rFonts w:ascii="Arial" w:hAnsi="Arial" w:cs="Arial"/>
          <w:sz w:val="20"/>
          <w:szCs w:val="20"/>
        </w:rPr>
        <w:t xml:space="preserve">salary of </w:t>
      </w:r>
      <w:r w:rsidR="00FD3FFD">
        <w:rPr>
          <w:rFonts w:ascii="Arial" w:hAnsi="Arial" w:cs="Arial"/>
          <w:sz w:val="20"/>
          <w:szCs w:val="20"/>
        </w:rPr>
        <w:t>€</w:t>
      </w:r>
      <w:r w:rsidR="00EC43BF" w:rsidRPr="00C4422D">
        <w:rPr>
          <w:rFonts w:ascii="Arial" w:hAnsi="Arial" w:cs="Arial"/>
          <w:sz w:val="20"/>
          <w:szCs w:val="20"/>
        </w:rPr>
        <w:t xml:space="preserve"> </w:t>
      </w:r>
      <w:r w:rsidR="00EC43BF" w:rsidRPr="00A729FC">
        <w:rPr>
          <w:rFonts w:ascii="Arial" w:hAnsi="Arial" w:cs="Arial"/>
          <w:sz w:val="20"/>
          <w:szCs w:val="20"/>
        </w:rPr>
        <w:t>1</w:t>
      </w:r>
      <w:r w:rsidR="004E70A5" w:rsidRPr="00A729FC">
        <w:rPr>
          <w:rFonts w:ascii="Arial" w:hAnsi="Arial" w:cs="Arial"/>
          <w:sz w:val="20"/>
          <w:szCs w:val="20"/>
        </w:rPr>
        <w:t>1</w:t>
      </w:r>
      <w:r w:rsidR="006C7CFD">
        <w:rPr>
          <w:rFonts w:ascii="Arial" w:hAnsi="Arial" w:cs="Arial"/>
          <w:sz w:val="20"/>
          <w:szCs w:val="20"/>
        </w:rPr>
        <w:t>4</w:t>
      </w:r>
      <w:r w:rsidR="00B238F6" w:rsidRPr="00A729FC">
        <w:rPr>
          <w:rFonts w:ascii="Arial" w:hAnsi="Arial" w:cs="Arial"/>
          <w:sz w:val="20"/>
          <w:szCs w:val="20"/>
        </w:rPr>
        <w:t>,</w:t>
      </w:r>
      <w:r w:rsidR="006C7CFD">
        <w:rPr>
          <w:rFonts w:ascii="Arial" w:hAnsi="Arial" w:cs="Arial"/>
          <w:sz w:val="20"/>
          <w:szCs w:val="20"/>
        </w:rPr>
        <w:t>866</w:t>
      </w:r>
      <w:r w:rsidR="00B238F6" w:rsidRPr="00A729FC">
        <w:rPr>
          <w:rFonts w:ascii="Arial" w:hAnsi="Arial" w:cs="Arial"/>
          <w:sz w:val="20"/>
          <w:szCs w:val="20"/>
        </w:rPr>
        <w:t xml:space="preserve"> </w:t>
      </w:r>
      <w:r w:rsidR="00C074C9" w:rsidRPr="00A729FC">
        <w:rPr>
          <w:rFonts w:ascii="Arial" w:hAnsi="Arial" w:cs="Arial"/>
          <w:sz w:val="20"/>
          <w:szCs w:val="20"/>
        </w:rPr>
        <w:t>-</w:t>
      </w:r>
      <w:r w:rsidR="00A314AF" w:rsidRPr="00A729FC">
        <w:rPr>
          <w:rFonts w:ascii="Arial" w:hAnsi="Arial" w:cs="Arial"/>
          <w:sz w:val="20"/>
          <w:szCs w:val="20"/>
        </w:rPr>
        <w:t xml:space="preserve"> </w:t>
      </w:r>
      <w:r w:rsidR="00732765" w:rsidRPr="00C4422D">
        <w:rPr>
          <w:rFonts w:ascii="Arial" w:hAnsi="Arial" w:cs="Arial"/>
          <w:sz w:val="20"/>
          <w:szCs w:val="20"/>
        </w:rPr>
        <w:t xml:space="preserve">and </w:t>
      </w:r>
      <w:r w:rsidR="00C074C9" w:rsidRPr="00C4422D">
        <w:rPr>
          <w:rFonts w:ascii="Arial" w:hAnsi="Arial" w:cs="Arial"/>
          <w:sz w:val="20"/>
          <w:szCs w:val="20"/>
        </w:rPr>
        <w:t xml:space="preserve">the </w:t>
      </w:r>
      <w:r w:rsidR="00732765" w:rsidRPr="00C4422D">
        <w:rPr>
          <w:rFonts w:ascii="Arial" w:hAnsi="Arial" w:cs="Arial"/>
          <w:sz w:val="20"/>
          <w:szCs w:val="20"/>
        </w:rPr>
        <w:t xml:space="preserve">indexation </w:t>
      </w:r>
      <w:r w:rsidR="00C074C9" w:rsidRPr="00C4422D">
        <w:rPr>
          <w:rFonts w:ascii="Arial" w:hAnsi="Arial" w:cs="Arial"/>
          <w:sz w:val="20"/>
          <w:szCs w:val="20"/>
        </w:rPr>
        <w:t xml:space="preserve">of accrued pension entitlements, </w:t>
      </w:r>
      <w:r w:rsidR="00B238F6" w:rsidRPr="00C4422D">
        <w:rPr>
          <w:rFonts w:ascii="Arial" w:hAnsi="Arial" w:cs="Arial"/>
          <w:sz w:val="20"/>
          <w:szCs w:val="20"/>
        </w:rPr>
        <w:t xml:space="preserve">amounted </w:t>
      </w:r>
      <w:r w:rsidR="00FD3FFD">
        <w:rPr>
          <w:rFonts w:ascii="Arial" w:hAnsi="Arial" w:cs="Arial"/>
          <w:sz w:val="20"/>
          <w:szCs w:val="20"/>
        </w:rPr>
        <w:t>€</w:t>
      </w:r>
      <w:r w:rsidR="00A14BEB" w:rsidRPr="00C4422D">
        <w:rPr>
          <w:rFonts w:ascii="Arial" w:hAnsi="Arial" w:cs="Arial"/>
          <w:sz w:val="20"/>
          <w:szCs w:val="20"/>
        </w:rPr>
        <w:t xml:space="preserve"> </w:t>
      </w:r>
      <w:r w:rsidR="00732765" w:rsidRPr="00C4422D">
        <w:rPr>
          <w:rFonts w:ascii="Arial" w:hAnsi="Arial" w:cs="Arial"/>
          <w:sz w:val="20"/>
          <w:szCs w:val="20"/>
        </w:rPr>
        <w:t>1</w:t>
      </w:r>
      <w:r w:rsidR="00887B12">
        <w:rPr>
          <w:rFonts w:ascii="Arial" w:hAnsi="Arial" w:cs="Arial"/>
          <w:sz w:val="20"/>
          <w:szCs w:val="20"/>
        </w:rPr>
        <w:t>33</w:t>
      </w:r>
      <w:r w:rsidR="00DC1043" w:rsidRPr="00C4422D">
        <w:rPr>
          <w:rFonts w:ascii="Arial" w:hAnsi="Arial" w:cs="Arial"/>
          <w:sz w:val="20"/>
          <w:szCs w:val="20"/>
        </w:rPr>
        <w:t>,000</w:t>
      </w:r>
      <w:r w:rsidR="00B238F6" w:rsidRPr="00C4422D">
        <w:rPr>
          <w:rFonts w:ascii="Arial" w:hAnsi="Arial" w:cs="Arial"/>
          <w:sz w:val="20"/>
          <w:szCs w:val="20"/>
        </w:rPr>
        <w:t xml:space="preserve"> in total</w:t>
      </w:r>
      <w:r w:rsidR="00887B12">
        <w:rPr>
          <w:rFonts w:ascii="Arial" w:hAnsi="Arial" w:cs="Arial"/>
          <w:sz w:val="20"/>
          <w:szCs w:val="20"/>
        </w:rPr>
        <w:t xml:space="preserve"> </w:t>
      </w:r>
      <w:r w:rsidR="008439FF">
        <w:rPr>
          <w:rFonts w:ascii="Arial" w:hAnsi="Arial" w:cs="Arial"/>
          <w:sz w:val="20"/>
          <w:szCs w:val="20"/>
        </w:rPr>
        <w:t>including</w:t>
      </w:r>
      <w:r w:rsidR="0098625F" w:rsidRPr="00C4422D">
        <w:rPr>
          <w:rFonts w:ascii="Arial" w:hAnsi="Arial" w:cs="Arial"/>
          <w:sz w:val="20"/>
          <w:szCs w:val="20"/>
        </w:rPr>
        <w:t xml:space="preserve"> allowanc</w:t>
      </w:r>
      <w:r w:rsidR="00A14BEB" w:rsidRPr="00C4422D">
        <w:rPr>
          <w:rFonts w:ascii="Arial" w:hAnsi="Arial" w:cs="Arial"/>
          <w:sz w:val="20"/>
          <w:szCs w:val="20"/>
        </w:rPr>
        <w:t>e</w:t>
      </w:r>
      <w:r w:rsidR="00DB517A">
        <w:rPr>
          <w:rFonts w:ascii="Arial" w:hAnsi="Arial" w:cs="Arial"/>
          <w:sz w:val="20"/>
          <w:szCs w:val="20"/>
        </w:rPr>
        <w:t>s</w:t>
      </w:r>
      <w:r w:rsidR="00A14BEB" w:rsidRPr="00C4422D">
        <w:rPr>
          <w:rFonts w:ascii="Arial" w:hAnsi="Arial" w:cs="Arial"/>
          <w:sz w:val="20"/>
          <w:szCs w:val="20"/>
        </w:rPr>
        <w:t xml:space="preserve"> for retirement</w:t>
      </w:r>
      <w:r w:rsidR="008439FF">
        <w:rPr>
          <w:rFonts w:ascii="Arial" w:hAnsi="Arial" w:cs="Arial"/>
          <w:sz w:val="20"/>
          <w:szCs w:val="20"/>
        </w:rPr>
        <w:t xml:space="preserve"> </w:t>
      </w:r>
      <w:r w:rsidR="007168BD">
        <w:rPr>
          <w:rFonts w:ascii="Arial" w:hAnsi="Arial" w:cs="Arial"/>
          <w:sz w:val="20"/>
          <w:szCs w:val="20"/>
        </w:rPr>
        <w:t>(</w:t>
      </w:r>
      <w:r w:rsidR="00E25FE3">
        <w:rPr>
          <w:rFonts w:ascii="Arial" w:hAnsi="Arial" w:cs="Arial"/>
          <w:sz w:val="20"/>
          <w:szCs w:val="20"/>
        </w:rPr>
        <w:t xml:space="preserve">legacy, </w:t>
      </w:r>
      <w:r w:rsidR="007168BD">
        <w:rPr>
          <w:rFonts w:ascii="Arial" w:hAnsi="Arial" w:cs="Arial"/>
          <w:sz w:val="20"/>
          <w:szCs w:val="20"/>
        </w:rPr>
        <w:t xml:space="preserve">applicable for only </w:t>
      </w:r>
      <w:r w:rsidR="008439FF">
        <w:rPr>
          <w:rFonts w:ascii="Arial" w:hAnsi="Arial" w:cs="Arial"/>
          <w:sz w:val="20"/>
          <w:szCs w:val="20"/>
        </w:rPr>
        <w:t xml:space="preserve">one of </w:t>
      </w:r>
      <w:r w:rsidR="007168BD">
        <w:rPr>
          <w:rFonts w:ascii="Arial" w:hAnsi="Arial" w:cs="Arial"/>
          <w:sz w:val="20"/>
          <w:szCs w:val="20"/>
        </w:rPr>
        <w:t xml:space="preserve">member of </w:t>
      </w:r>
      <w:r w:rsidR="008439FF">
        <w:rPr>
          <w:rFonts w:ascii="Arial" w:hAnsi="Arial" w:cs="Arial"/>
          <w:sz w:val="20"/>
          <w:szCs w:val="20"/>
        </w:rPr>
        <w:t>the Managem</w:t>
      </w:r>
      <w:r w:rsidR="00DB517A">
        <w:rPr>
          <w:rFonts w:ascii="Arial" w:hAnsi="Arial" w:cs="Arial"/>
          <w:sz w:val="20"/>
          <w:szCs w:val="20"/>
        </w:rPr>
        <w:t>ent Board</w:t>
      </w:r>
      <w:r w:rsidR="008439FF">
        <w:rPr>
          <w:rFonts w:ascii="Arial" w:hAnsi="Arial" w:cs="Arial"/>
          <w:sz w:val="20"/>
          <w:szCs w:val="20"/>
        </w:rPr>
        <w:t>)</w:t>
      </w:r>
      <w:r w:rsidR="00A14BEB" w:rsidRPr="00C4422D">
        <w:rPr>
          <w:rFonts w:ascii="Arial" w:hAnsi="Arial" w:cs="Arial"/>
          <w:sz w:val="20"/>
          <w:szCs w:val="20"/>
        </w:rPr>
        <w:t xml:space="preserve">. In total </w:t>
      </w:r>
      <w:r w:rsidR="00FD3FFD">
        <w:rPr>
          <w:rFonts w:ascii="Arial" w:hAnsi="Arial" w:cs="Arial"/>
          <w:sz w:val="20"/>
          <w:szCs w:val="20"/>
        </w:rPr>
        <w:t>€</w:t>
      </w:r>
      <w:r w:rsidR="00A14BEB" w:rsidRPr="00C4422D">
        <w:rPr>
          <w:rFonts w:ascii="Arial" w:hAnsi="Arial" w:cs="Arial"/>
          <w:sz w:val="20"/>
          <w:szCs w:val="20"/>
        </w:rPr>
        <w:t xml:space="preserve"> </w:t>
      </w:r>
      <w:r w:rsidR="0091447F" w:rsidRPr="00C4422D">
        <w:rPr>
          <w:rFonts w:ascii="Arial" w:hAnsi="Arial" w:cs="Arial"/>
          <w:sz w:val="20"/>
          <w:szCs w:val="20"/>
        </w:rPr>
        <w:t>6</w:t>
      </w:r>
      <w:r w:rsidR="004E70A5" w:rsidRPr="00C4422D">
        <w:rPr>
          <w:rFonts w:ascii="Arial" w:hAnsi="Arial" w:cs="Arial"/>
          <w:sz w:val="20"/>
          <w:szCs w:val="20"/>
        </w:rPr>
        <w:t>9</w:t>
      </w:r>
      <w:r w:rsidR="00DC1043" w:rsidRPr="00C4422D">
        <w:rPr>
          <w:rFonts w:ascii="Arial" w:hAnsi="Arial" w:cs="Arial"/>
          <w:sz w:val="20"/>
          <w:szCs w:val="20"/>
        </w:rPr>
        <w:t xml:space="preserve">,000 </w:t>
      </w:r>
      <w:r w:rsidR="0098625F" w:rsidRPr="00C4422D">
        <w:rPr>
          <w:rFonts w:ascii="Arial" w:hAnsi="Arial" w:cs="Arial"/>
          <w:sz w:val="20"/>
          <w:szCs w:val="20"/>
        </w:rPr>
        <w:t>has been paid to</w:t>
      </w:r>
      <w:r w:rsidR="0098625F" w:rsidRPr="00FE5290">
        <w:rPr>
          <w:rFonts w:ascii="Arial" w:hAnsi="Arial" w:cs="Arial"/>
          <w:sz w:val="20"/>
          <w:szCs w:val="20"/>
        </w:rPr>
        <w:t xml:space="preserve"> Man</w:t>
      </w:r>
      <w:r w:rsidR="00B47300" w:rsidRPr="00FE5290">
        <w:rPr>
          <w:rFonts w:ascii="Arial" w:hAnsi="Arial" w:cs="Arial"/>
          <w:sz w:val="20"/>
          <w:szCs w:val="20"/>
        </w:rPr>
        <w:t>agement Board member</w:t>
      </w:r>
      <w:r w:rsidR="00A14BEB" w:rsidRPr="00FE5290">
        <w:rPr>
          <w:rFonts w:ascii="Arial" w:hAnsi="Arial" w:cs="Arial"/>
          <w:sz w:val="20"/>
          <w:szCs w:val="20"/>
        </w:rPr>
        <w:t>s</w:t>
      </w:r>
      <w:r w:rsidR="00B47300" w:rsidRPr="00FE5290">
        <w:rPr>
          <w:rFonts w:ascii="Arial" w:hAnsi="Arial" w:cs="Arial"/>
          <w:sz w:val="20"/>
          <w:szCs w:val="20"/>
        </w:rPr>
        <w:t xml:space="preserve"> regarding other</w:t>
      </w:r>
      <w:r w:rsidR="0098625F" w:rsidRPr="00FE5290">
        <w:rPr>
          <w:rFonts w:ascii="Arial" w:hAnsi="Arial" w:cs="Arial"/>
          <w:sz w:val="20"/>
          <w:szCs w:val="20"/>
        </w:rPr>
        <w:t xml:space="preserve"> benefits</w:t>
      </w:r>
      <w:r w:rsidR="00AD6CB9" w:rsidRPr="00FE5290">
        <w:rPr>
          <w:rFonts w:ascii="Arial" w:hAnsi="Arial" w:cs="Arial"/>
          <w:sz w:val="20"/>
          <w:szCs w:val="20"/>
        </w:rPr>
        <w:t xml:space="preserve"> (contribution to company car</w:t>
      </w:r>
      <w:r w:rsidR="00B238F6">
        <w:rPr>
          <w:rFonts w:ascii="Arial" w:hAnsi="Arial" w:cs="Arial"/>
          <w:sz w:val="20"/>
          <w:szCs w:val="20"/>
        </w:rPr>
        <w:t>/mobility allowance</w:t>
      </w:r>
      <w:r w:rsidR="00AD6CB9" w:rsidRPr="00FE5290">
        <w:rPr>
          <w:rFonts w:ascii="Arial" w:hAnsi="Arial" w:cs="Arial"/>
          <w:sz w:val="20"/>
          <w:szCs w:val="20"/>
        </w:rPr>
        <w:t>, fixed expense allowance, all in alignment with the general fringe benefits within FMO)</w:t>
      </w:r>
      <w:r w:rsidR="00B47300" w:rsidRPr="00FE5290">
        <w:rPr>
          <w:rFonts w:ascii="Arial" w:hAnsi="Arial" w:cs="Arial"/>
          <w:sz w:val="20"/>
          <w:szCs w:val="20"/>
        </w:rPr>
        <w:t>.</w:t>
      </w:r>
    </w:p>
    <w:p w14:paraId="11C437D0" w14:textId="046D4F80" w:rsidR="000E4401" w:rsidRDefault="00315BA6">
      <w:pPr>
        <w:contextualSpacing/>
        <w:rPr>
          <w:rFonts w:ascii="Arial" w:hAnsi="Arial" w:cs="Arial"/>
          <w:sz w:val="20"/>
          <w:szCs w:val="20"/>
        </w:rPr>
      </w:pPr>
      <w:r w:rsidRPr="00315BA6">
        <w:rPr>
          <w:rFonts w:ascii="Arial" w:hAnsi="Arial" w:cs="Arial"/>
          <w:sz w:val="20"/>
          <w:szCs w:val="20"/>
        </w:rPr>
        <w:t xml:space="preserve">Based on the CLA Banks a structural salary adjustment of </w:t>
      </w:r>
      <w:r w:rsidR="00F702DD">
        <w:rPr>
          <w:rFonts w:ascii="Arial" w:hAnsi="Arial" w:cs="Arial"/>
          <w:sz w:val="20"/>
          <w:szCs w:val="20"/>
        </w:rPr>
        <w:t>2.5</w:t>
      </w:r>
      <w:r w:rsidRPr="00315BA6">
        <w:rPr>
          <w:rFonts w:ascii="Arial" w:hAnsi="Arial" w:cs="Arial"/>
          <w:sz w:val="20"/>
          <w:szCs w:val="20"/>
        </w:rPr>
        <w:t xml:space="preserve">% has been granted to the members of the Management Board and other staff members of FMO (including the Identified staff) as per </w:t>
      </w:r>
    </w:p>
    <w:p w14:paraId="39B8D3CA" w14:textId="6BA2A377" w:rsidR="00201A59" w:rsidRDefault="00315BA6" w:rsidP="0007539E">
      <w:pPr>
        <w:contextualSpacing/>
        <w:rPr>
          <w:rFonts w:ascii="Arial" w:hAnsi="Arial" w:cs="Arial"/>
          <w:sz w:val="20"/>
          <w:szCs w:val="20"/>
        </w:rPr>
      </w:pPr>
      <w:r w:rsidRPr="00315BA6">
        <w:rPr>
          <w:rFonts w:ascii="Arial" w:hAnsi="Arial" w:cs="Arial"/>
          <w:sz w:val="20"/>
          <w:szCs w:val="20"/>
        </w:rPr>
        <w:t xml:space="preserve">1 </w:t>
      </w:r>
      <w:r w:rsidR="00F702DD">
        <w:rPr>
          <w:rFonts w:ascii="Arial" w:hAnsi="Arial" w:cs="Arial"/>
          <w:sz w:val="20"/>
          <w:szCs w:val="20"/>
        </w:rPr>
        <w:t>March</w:t>
      </w:r>
      <w:r w:rsidRPr="00315BA6">
        <w:rPr>
          <w:rFonts w:ascii="Arial" w:hAnsi="Arial" w:cs="Arial"/>
          <w:sz w:val="20"/>
          <w:szCs w:val="20"/>
        </w:rPr>
        <w:t xml:space="preserve"> 20</w:t>
      </w:r>
      <w:r w:rsidR="00CC2293">
        <w:rPr>
          <w:rFonts w:ascii="Arial" w:hAnsi="Arial" w:cs="Arial"/>
          <w:sz w:val="20"/>
          <w:szCs w:val="20"/>
        </w:rPr>
        <w:t>2</w:t>
      </w:r>
      <w:r w:rsidR="00F702DD">
        <w:rPr>
          <w:rFonts w:ascii="Arial" w:hAnsi="Arial" w:cs="Arial"/>
          <w:sz w:val="20"/>
          <w:szCs w:val="20"/>
        </w:rPr>
        <w:t>2</w:t>
      </w:r>
      <w:r w:rsidRPr="00315BA6">
        <w:rPr>
          <w:rFonts w:ascii="Arial" w:hAnsi="Arial" w:cs="Arial"/>
          <w:sz w:val="20"/>
          <w:szCs w:val="20"/>
        </w:rPr>
        <w:t xml:space="preserve">. </w:t>
      </w:r>
      <w:r w:rsidR="00AD6CB9" w:rsidRPr="00FE5290">
        <w:rPr>
          <w:rFonts w:ascii="Arial" w:hAnsi="Arial" w:cs="Arial"/>
          <w:sz w:val="20"/>
          <w:szCs w:val="20"/>
        </w:rPr>
        <w:t>More d</w:t>
      </w:r>
      <w:r w:rsidR="00A314AF" w:rsidRPr="00FE5290">
        <w:rPr>
          <w:rFonts w:ascii="Arial" w:hAnsi="Arial" w:cs="Arial"/>
          <w:sz w:val="20"/>
          <w:szCs w:val="20"/>
        </w:rPr>
        <w:t>etails on the individual remuneration of the members o</w:t>
      </w:r>
      <w:r w:rsidR="00007E95" w:rsidRPr="00FE5290">
        <w:rPr>
          <w:rFonts w:ascii="Arial" w:hAnsi="Arial" w:cs="Arial"/>
          <w:sz w:val="20"/>
          <w:szCs w:val="20"/>
        </w:rPr>
        <w:t xml:space="preserve">f the Management </w:t>
      </w:r>
      <w:r w:rsidR="00603AC1">
        <w:rPr>
          <w:rFonts w:ascii="Arial" w:hAnsi="Arial" w:cs="Arial"/>
          <w:sz w:val="20"/>
          <w:szCs w:val="20"/>
        </w:rPr>
        <w:t>Board over 20</w:t>
      </w:r>
      <w:r w:rsidR="001A2AD5">
        <w:rPr>
          <w:rFonts w:ascii="Arial" w:hAnsi="Arial" w:cs="Arial"/>
          <w:sz w:val="20"/>
          <w:szCs w:val="20"/>
        </w:rPr>
        <w:t>2</w:t>
      </w:r>
      <w:r w:rsidR="0035070D">
        <w:rPr>
          <w:rFonts w:ascii="Arial" w:hAnsi="Arial" w:cs="Arial"/>
          <w:sz w:val="20"/>
          <w:szCs w:val="20"/>
        </w:rPr>
        <w:t>2</w:t>
      </w:r>
      <w:r w:rsidR="00A314AF" w:rsidRPr="00FE5290">
        <w:rPr>
          <w:rFonts w:ascii="Arial" w:hAnsi="Arial" w:cs="Arial"/>
          <w:sz w:val="20"/>
          <w:szCs w:val="20"/>
        </w:rPr>
        <w:t xml:space="preserve"> can be found </w:t>
      </w:r>
      <w:r w:rsidR="00AD6CB9" w:rsidRPr="00FE5290">
        <w:rPr>
          <w:rFonts w:ascii="Arial" w:hAnsi="Arial" w:cs="Arial"/>
          <w:sz w:val="20"/>
          <w:szCs w:val="20"/>
        </w:rPr>
        <w:t>in the Annual R</w:t>
      </w:r>
      <w:r w:rsidR="00603AC1">
        <w:rPr>
          <w:rFonts w:ascii="Arial" w:hAnsi="Arial" w:cs="Arial"/>
          <w:sz w:val="20"/>
          <w:szCs w:val="20"/>
        </w:rPr>
        <w:t>eport of FMO 20</w:t>
      </w:r>
      <w:r w:rsidR="001A2AD5">
        <w:rPr>
          <w:rFonts w:ascii="Arial" w:hAnsi="Arial" w:cs="Arial"/>
          <w:sz w:val="20"/>
          <w:szCs w:val="20"/>
        </w:rPr>
        <w:t>2</w:t>
      </w:r>
      <w:r w:rsidR="0035070D">
        <w:rPr>
          <w:rFonts w:ascii="Arial" w:hAnsi="Arial" w:cs="Arial"/>
          <w:sz w:val="20"/>
          <w:szCs w:val="20"/>
        </w:rPr>
        <w:t>2</w:t>
      </w:r>
      <w:r w:rsidR="00A314AF" w:rsidRPr="00FE5290">
        <w:rPr>
          <w:rFonts w:ascii="Arial" w:hAnsi="Arial" w:cs="Arial"/>
          <w:sz w:val="20"/>
          <w:szCs w:val="20"/>
        </w:rPr>
        <w:t>.</w:t>
      </w:r>
    </w:p>
    <w:p w14:paraId="59660A2F" w14:textId="77777777" w:rsidR="0007539E" w:rsidRPr="0007539E" w:rsidRDefault="0007539E" w:rsidP="0007539E">
      <w:pPr>
        <w:contextualSpacing/>
        <w:rPr>
          <w:rFonts w:ascii="Arial" w:hAnsi="Arial" w:cs="Arial"/>
          <w:sz w:val="20"/>
          <w:szCs w:val="20"/>
        </w:rPr>
      </w:pPr>
    </w:p>
    <w:tbl>
      <w:tblPr>
        <w:tblStyle w:val="TableGrid"/>
        <w:tblpPr w:leftFromText="180" w:rightFromText="180" w:vertAnchor="text" w:horzAnchor="margin" w:tblpY="8"/>
        <w:tblW w:w="7367" w:type="dxa"/>
        <w:tblLook w:val="04A0" w:firstRow="1" w:lastRow="0" w:firstColumn="1" w:lastColumn="0" w:noHBand="0" w:noVBand="1"/>
      </w:tblPr>
      <w:tblGrid>
        <w:gridCol w:w="2972"/>
        <w:gridCol w:w="1132"/>
        <w:gridCol w:w="1136"/>
        <w:gridCol w:w="993"/>
        <w:gridCol w:w="1134"/>
      </w:tblGrid>
      <w:tr w:rsidR="00E54CBC" w:rsidRPr="00FE5290" w14:paraId="5D3C9F3A" w14:textId="77777777" w:rsidTr="00E54CBC">
        <w:tc>
          <w:tcPr>
            <w:tcW w:w="2972" w:type="dxa"/>
          </w:tcPr>
          <w:p w14:paraId="4E0C55BE" w14:textId="7E8AD049" w:rsidR="00E54CBC" w:rsidRPr="00FE5290" w:rsidRDefault="00E54CBC" w:rsidP="004909A2">
            <w:pPr>
              <w:rPr>
                <w:rFonts w:ascii="Arial" w:hAnsi="Arial" w:cs="Arial"/>
                <w:sz w:val="20"/>
                <w:szCs w:val="20"/>
              </w:rPr>
            </w:pPr>
            <w:r>
              <w:rPr>
                <w:rFonts w:ascii="Arial" w:hAnsi="Arial" w:cs="Arial"/>
                <w:b/>
                <w:sz w:val="20"/>
                <w:szCs w:val="20"/>
              </w:rPr>
              <w:t>2022</w:t>
            </w:r>
            <w:r w:rsidRPr="00FE5290">
              <w:rPr>
                <w:rFonts w:ascii="Arial" w:hAnsi="Arial" w:cs="Arial"/>
                <w:sz w:val="20"/>
                <w:szCs w:val="20"/>
              </w:rPr>
              <w:t xml:space="preserve">           </w:t>
            </w:r>
            <w:r>
              <w:rPr>
                <w:rFonts w:ascii="Arial" w:hAnsi="Arial" w:cs="Arial"/>
                <w:sz w:val="20"/>
                <w:szCs w:val="20"/>
              </w:rPr>
              <w:t xml:space="preserve">         </w:t>
            </w:r>
            <w:r w:rsidR="00FD3FFD">
              <w:rPr>
                <w:rFonts w:ascii="Arial" w:hAnsi="Arial" w:cs="Arial"/>
                <w:sz w:val="20"/>
                <w:szCs w:val="20"/>
              </w:rPr>
              <w:t xml:space="preserve">     </w:t>
            </w:r>
            <w:r w:rsidRPr="00FE5290">
              <w:rPr>
                <w:rFonts w:ascii="Arial" w:hAnsi="Arial" w:cs="Arial"/>
                <w:sz w:val="20"/>
                <w:szCs w:val="20"/>
              </w:rPr>
              <w:t xml:space="preserve">  </w:t>
            </w:r>
            <w:r w:rsidRPr="00603AC1">
              <w:rPr>
                <w:rFonts w:ascii="Arial" w:hAnsi="Arial" w:cs="Arial"/>
                <w:sz w:val="16"/>
                <w:szCs w:val="16"/>
              </w:rPr>
              <w:t xml:space="preserve">(x 1,000 </w:t>
            </w:r>
            <w:r w:rsidR="00FD3FFD">
              <w:rPr>
                <w:rFonts w:ascii="Arial" w:hAnsi="Arial" w:cs="Arial"/>
                <w:sz w:val="16"/>
                <w:szCs w:val="16"/>
              </w:rPr>
              <w:t>€</w:t>
            </w:r>
            <w:r w:rsidRPr="00603AC1">
              <w:rPr>
                <w:rFonts w:ascii="Arial" w:hAnsi="Arial" w:cs="Arial"/>
                <w:sz w:val="16"/>
                <w:szCs w:val="16"/>
              </w:rPr>
              <w:t>)</w:t>
            </w:r>
          </w:p>
        </w:tc>
        <w:tc>
          <w:tcPr>
            <w:tcW w:w="1132" w:type="dxa"/>
          </w:tcPr>
          <w:p w14:paraId="4A422759" w14:textId="77777777" w:rsidR="00E54CBC" w:rsidRPr="00FE5290" w:rsidRDefault="00E54CBC" w:rsidP="004909A2">
            <w:pPr>
              <w:jc w:val="right"/>
              <w:rPr>
                <w:rFonts w:ascii="Arial" w:hAnsi="Arial" w:cs="Arial"/>
                <w:b/>
                <w:sz w:val="20"/>
                <w:szCs w:val="20"/>
              </w:rPr>
            </w:pPr>
            <w:r w:rsidRPr="00FE5290">
              <w:rPr>
                <w:rFonts w:ascii="Arial" w:hAnsi="Arial" w:cs="Arial"/>
                <w:b/>
                <w:sz w:val="20"/>
                <w:szCs w:val="20"/>
              </w:rPr>
              <w:t>Fixed income</w:t>
            </w:r>
          </w:p>
        </w:tc>
        <w:tc>
          <w:tcPr>
            <w:tcW w:w="1136" w:type="dxa"/>
          </w:tcPr>
          <w:p w14:paraId="66EC6C8D" w14:textId="77777777" w:rsidR="00E54CBC" w:rsidRPr="00FE5290" w:rsidRDefault="00E54CBC" w:rsidP="004909A2">
            <w:pPr>
              <w:jc w:val="right"/>
              <w:rPr>
                <w:rFonts w:ascii="Arial" w:hAnsi="Arial" w:cs="Arial"/>
                <w:b/>
                <w:sz w:val="20"/>
                <w:szCs w:val="20"/>
              </w:rPr>
            </w:pPr>
            <w:r w:rsidRPr="00FE5290">
              <w:rPr>
                <w:rFonts w:ascii="Arial" w:hAnsi="Arial" w:cs="Arial"/>
                <w:b/>
                <w:sz w:val="20"/>
                <w:szCs w:val="20"/>
              </w:rPr>
              <w:t>Pension</w:t>
            </w:r>
          </w:p>
        </w:tc>
        <w:tc>
          <w:tcPr>
            <w:tcW w:w="993" w:type="dxa"/>
          </w:tcPr>
          <w:p w14:paraId="765B950D" w14:textId="77777777" w:rsidR="00E54CBC" w:rsidRPr="00FE5290" w:rsidRDefault="00E54CBC" w:rsidP="004909A2">
            <w:pPr>
              <w:jc w:val="right"/>
              <w:rPr>
                <w:rFonts w:ascii="Arial" w:hAnsi="Arial" w:cs="Arial"/>
                <w:b/>
                <w:sz w:val="20"/>
                <w:szCs w:val="20"/>
                <w:vertAlign w:val="superscript"/>
              </w:rPr>
            </w:pPr>
            <w:r w:rsidRPr="00FE5290">
              <w:rPr>
                <w:rFonts w:ascii="Arial" w:hAnsi="Arial" w:cs="Arial"/>
                <w:b/>
                <w:sz w:val="20"/>
                <w:szCs w:val="20"/>
              </w:rPr>
              <w:t>Other</w:t>
            </w:r>
            <w:r w:rsidRPr="00FE5290">
              <w:rPr>
                <w:rFonts w:ascii="Arial" w:hAnsi="Arial" w:cs="Arial"/>
                <w:b/>
                <w:sz w:val="20"/>
                <w:szCs w:val="20"/>
                <w:vertAlign w:val="superscript"/>
              </w:rPr>
              <w:t>2</w:t>
            </w:r>
          </w:p>
        </w:tc>
        <w:tc>
          <w:tcPr>
            <w:tcW w:w="1134" w:type="dxa"/>
          </w:tcPr>
          <w:p w14:paraId="32721281" w14:textId="77777777" w:rsidR="00E54CBC" w:rsidRPr="00FE5290" w:rsidRDefault="00E54CBC" w:rsidP="004909A2">
            <w:pPr>
              <w:jc w:val="right"/>
              <w:rPr>
                <w:rFonts w:ascii="Arial" w:hAnsi="Arial" w:cs="Arial"/>
                <w:b/>
                <w:sz w:val="20"/>
                <w:szCs w:val="20"/>
              </w:rPr>
            </w:pPr>
            <w:r w:rsidRPr="00FE5290">
              <w:rPr>
                <w:rFonts w:ascii="Arial" w:hAnsi="Arial" w:cs="Arial"/>
                <w:b/>
                <w:sz w:val="20"/>
                <w:szCs w:val="20"/>
              </w:rPr>
              <w:t>Total</w:t>
            </w:r>
          </w:p>
        </w:tc>
      </w:tr>
      <w:tr w:rsidR="00E54CBC" w:rsidRPr="00FE5290" w14:paraId="40BA0DB0" w14:textId="77777777" w:rsidTr="00E54CBC">
        <w:tc>
          <w:tcPr>
            <w:tcW w:w="2972" w:type="dxa"/>
          </w:tcPr>
          <w:p w14:paraId="79B54F08" w14:textId="7E273BE3" w:rsidR="00E54CBC" w:rsidRPr="00FE5290" w:rsidRDefault="00E54CBC" w:rsidP="004909A2">
            <w:pPr>
              <w:rPr>
                <w:rFonts w:ascii="Arial" w:hAnsi="Arial" w:cs="Arial"/>
                <w:sz w:val="20"/>
                <w:szCs w:val="20"/>
              </w:rPr>
            </w:pPr>
            <w:r w:rsidRPr="00FE5290">
              <w:rPr>
                <w:rFonts w:ascii="Arial" w:hAnsi="Arial" w:cs="Arial"/>
                <w:sz w:val="20"/>
                <w:szCs w:val="20"/>
              </w:rPr>
              <w:t>Supervisory Board</w:t>
            </w:r>
            <w:r>
              <w:rPr>
                <w:rFonts w:ascii="Arial" w:hAnsi="Arial" w:cs="Arial"/>
                <w:sz w:val="20"/>
                <w:szCs w:val="20"/>
              </w:rPr>
              <w:t xml:space="preserve"> (5</w:t>
            </w:r>
            <w:r w:rsidRPr="00FE5290">
              <w:rPr>
                <w:rFonts w:ascii="Arial" w:hAnsi="Arial" w:cs="Arial"/>
                <w:sz w:val="20"/>
                <w:szCs w:val="20"/>
              </w:rPr>
              <w:t>)</w:t>
            </w:r>
            <w:r w:rsidRPr="00FE5290">
              <w:rPr>
                <w:rFonts w:ascii="Arial" w:hAnsi="Arial" w:cs="Arial"/>
                <w:sz w:val="20"/>
                <w:szCs w:val="20"/>
                <w:vertAlign w:val="superscript"/>
              </w:rPr>
              <w:t>1</w:t>
            </w:r>
          </w:p>
        </w:tc>
        <w:tc>
          <w:tcPr>
            <w:tcW w:w="1132" w:type="dxa"/>
          </w:tcPr>
          <w:p w14:paraId="3BA5D361" w14:textId="47CBD93E" w:rsidR="00E54CBC" w:rsidRPr="00833891" w:rsidRDefault="00E54CBC" w:rsidP="004909A2">
            <w:pPr>
              <w:jc w:val="right"/>
              <w:rPr>
                <w:rFonts w:ascii="Arial" w:hAnsi="Arial" w:cs="Arial"/>
                <w:sz w:val="20"/>
                <w:szCs w:val="20"/>
                <w:highlight w:val="yellow"/>
              </w:rPr>
            </w:pPr>
            <w:r>
              <w:rPr>
                <w:rFonts w:ascii="Arial" w:hAnsi="Arial" w:cs="Arial"/>
                <w:sz w:val="20"/>
                <w:szCs w:val="20"/>
              </w:rPr>
              <w:t>115</w:t>
            </w:r>
          </w:p>
        </w:tc>
        <w:tc>
          <w:tcPr>
            <w:tcW w:w="1136" w:type="dxa"/>
          </w:tcPr>
          <w:p w14:paraId="63AAF240" w14:textId="77777777" w:rsidR="00E54CBC" w:rsidRPr="00160E62" w:rsidRDefault="00E54CBC" w:rsidP="004909A2">
            <w:pPr>
              <w:jc w:val="right"/>
              <w:rPr>
                <w:rFonts w:ascii="Arial" w:hAnsi="Arial" w:cs="Arial"/>
                <w:sz w:val="20"/>
                <w:szCs w:val="20"/>
              </w:rPr>
            </w:pPr>
            <w:r w:rsidRPr="00160E62">
              <w:rPr>
                <w:rFonts w:ascii="Arial" w:hAnsi="Arial" w:cs="Arial"/>
                <w:sz w:val="20"/>
                <w:szCs w:val="20"/>
              </w:rPr>
              <w:t>-</w:t>
            </w:r>
          </w:p>
        </w:tc>
        <w:tc>
          <w:tcPr>
            <w:tcW w:w="993" w:type="dxa"/>
          </w:tcPr>
          <w:p w14:paraId="4B04B159" w14:textId="77777777" w:rsidR="00E54CBC" w:rsidRPr="00160E62" w:rsidRDefault="00E54CBC" w:rsidP="004909A2">
            <w:pPr>
              <w:jc w:val="right"/>
              <w:rPr>
                <w:rFonts w:ascii="Arial" w:hAnsi="Arial" w:cs="Arial"/>
                <w:sz w:val="20"/>
                <w:szCs w:val="20"/>
              </w:rPr>
            </w:pPr>
            <w:r w:rsidRPr="00160E62">
              <w:rPr>
                <w:rFonts w:ascii="Arial" w:hAnsi="Arial" w:cs="Arial"/>
                <w:sz w:val="20"/>
                <w:szCs w:val="20"/>
              </w:rPr>
              <w:t>-</w:t>
            </w:r>
          </w:p>
        </w:tc>
        <w:tc>
          <w:tcPr>
            <w:tcW w:w="1134" w:type="dxa"/>
          </w:tcPr>
          <w:p w14:paraId="0E146D84" w14:textId="515952AD" w:rsidR="00E54CBC" w:rsidRPr="00160E62" w:rsidRDefault="00E54CBC" w:rsidP="004909A2">
            <w:pPr>
              <w:jc w:val="right"/>
              <w:rPr>
                <w:rFonts w:ascii="Arial" w:hAnsi="Arial" w:cs="Arial"/>
                <w:sz w:val="20"/>
                <w:szCs w:val="20"/>
              </w:rPr>
            </w:pPr>
            <w:r>
              <w:rPr>
                <w:rFonts w:ascii="Arial" w:hAnsi="Arial" w:cs="Arial"/>
                <w:sz w:val="20"/>
                <w:szCs w:val="20"/>
              </w:rPr>
              <w:t>115</w:t>
            </w:r>
          </w:p>
        </w:tc>
      </w:tr>
      <w:tr w:rsidR="00E54CBC" w:rsidRPr="00FE5290" w14:paraId="06FF015B" w14:textId="77777777" w:rsidTr="00E54CBC">
        <w:tc>
          <w:tcPr>
            <w:tcW w:w="2972" w:type="dxa"/>
          </w:tcPr>
          <w:p w14:paraId="3CABDD46" w14:textId="68849275" w:rsidR="00E54CBC" w:rsidRPr="00FE5290" w:rsidRDefault="00E54CBC" w:rsidP="004909A2">
            <w:pPr>
              <w:rPr>
                <w:rFonts w:ascii="Arial" w:hAnsi="Arial" w:cs="Arial"/>
                <w:sz w:val="20"/>
                <w:szCs w:val="20"/>
                <w:vertAlign w:val="superscript"/>
              </w:rPr>
            </w:pPr>
            <w:r w:rsidRPr="00FE5290">
              <w:rPr>
                <w:rFonts w:ascii="Arial" w:hAnsi="Arial" w:cs="Arial"/>
                <w:sz w:val="20"/>
                <w:szCs w:val="20"/>
              </w:rPr>
              <w:t>Management Board (</w:t>
            </w:r>
            <w:r>
              <w:rPr>
                <w:rFonts w:ascii="Arial" w:hAnsi="Arial" w:cs="Arial"/>
                <w:sz w:val="20"/>
                <w:szCs w:val="20"/>
              </w:rPr>
              <w:t>5</w:t>
            </w:r>
            <w:r w:rsidRPr="00FE5290">
              <w:rPr>
                <w:rFonts w:ascii="Arial" w:hAnsi="Arial" w:cs="Arial"/>
                <w:sz w:val="20"/>
                <w:szCs w:val="20"/>
              </w:rPr>
              <w:t>)</w:t>
            </w:r>
            <w:r w:rsidRPr="00FE5290">
              <w:rPr>
                <w:rFonts w:ascii="Arial" w:hAnsi="Arial" w:cs="Arial"/>
                <w:sz w:val="20"/>
                <w:szCs w:val="20"/>
                <w:vertAlign w:val="superscript"/>
              </w:rPr>
              <w:t>1</w:t>
            </w:r>
          </w:p>
        </w:tc>
        <w:tc>
          <w:tcPr>
            <w:tcW w:w="1132" w:type="dxa"/>
          </w:tcPr>
          <w:p w14:paraId="28549315" w14:textId="61F678E1" w:rsidR="00E54CBC" w:rsidRPr="00160E62" w:rsidRDefault="00E54CBC" w:rsidP="004909A2">
            <w:pPr>
              <w:jc w:val="right"/>
              <w:rPr>
                <w:rFonts w:ascii="Arial" w:hAnsi="Arial" w:cs="Arial"/>
                <w:sz w:val="20"/>
                <w:szCs w:val="20"/>
              </w:rPr>
            </w:pPr>
            <w:r>
              <w:rPr>
                <w:rFonts w:ascii="Arial" w:hAnsi="Arial" w:cs="Arial"/>
                <w:sz w:val="20"/>
                <w:szCs w:val="20"/>
              </w:rPr>
              <w:t>914</w:t>
            </w:r>
          </w:p>
        </w:tc>
        <w:tc>
          <w:tcPr>
            <w:tcW w:w="1136" w:type="dxa"/>
          </w:tcPr>
          <w:p w14:paraId="4F9B5F80" w14:textId="6A882AE1" w:rsidR="00E54CBC" w:rsidRPr="00160E62" w:rsidRDefault="00E54CBC" w:rsidP="004909A2">
            <w:pPr>
              <w:jc w:val="right"/>
              <w:rPr>
                <w:rFonts w:ascii="Arial" w:hAnsi="Arial" w:cs="Arial"/>
                <w:sz w:val="20"/>
                <w:szCs w:val="20"/>
              </w:rPr>
            </w:pPr>
            <w:r>
              <w:rPr>
                <w:rFonts w:ascii="Arial" w:hAnsi="Arial" w:cs="Arial"/>
                <w:sz w:val="20"/>
                <w:szCs w:val="20"/>
              </w:rPr>
              <w:t>13</w:t>
            </w:r>
            <w:r w:rsidR="00EA7710">
              <w:rPr>
                <w:rFonts w:ascii="Arial" w:hAnsi="Arial" w:cs="Arial"/>
                <w:sz w:val="20"/>
                <w:szCs w:val="20"/>
              </w:rPr>
              <w:t>6</w:t>
            </w:r>
          </w:p>
        </w:tc>
        <w:tc>
          <w:tcPr>
            <w:tcW w:w="993" w:type="dxa"/>
          </w:tcPr>
          <w:p w14:paraId="4D722143" w14:textId="4283342A" w:rsidR="00E54CBC" w:rsidRPr="00160E62" w:rsidRDefault="00E54CBC" w:rsidP="004909A2">
            <w:pPr>
              <w:jc w:val="right"/>
              <w:rPr>
                <w:rFonts w:ascii="Arial" w:hAnsi="Arial" w:cs="Arial"/>
                <w:sz w:val="20"/>
                <w:szCs w:val="20"/>
              </w:rPr>
            </w:pPr>
            <w:r>
              <w:rPr>
                <w:rFonts w:ascii="Arial" w:hAnsi="Arial" w:cs="Arial"/>
                <w:sz w:val="20"/>
                <w:szCs w:val="20"/>
              </w:rPr>
              <w:t>66</w:t>
            </w:r>
          </w:p>
        </w:tc>
        <w:tc>
          <w:tcPr>
            <w:tcW w:w="1134" w:type="dxa"/>
          </w:tcPr>
          <w:p w14:paraId="2E72D917" w14:textId="68982E40" w:rsidR="00E54CBC" w:rsidRPr="00160E62" w:rsidRDefault="00E54CBC" w:rsidP="004909A2">
            <w:pPr>
              <w:jc w:val="right"/>
              <w:rPr>
                <w:rFonts w:ascii="Arial" w:hAnsi="Arial" w:cs="Arial"/>
                <w:sz w:val="20"/>
                <w:szCs w:val="20"/>
              </w:rPr>
            </w:pPr>
            <w:r>
              <w:rPr>
                <w:rFonts w:ascii="Arial" w:hAnsi="Arial" w:cs="Arial"/>
                <w:sz w:val="20"/>
                <w:szCs w:val="20"/>
              </w:rPr>
              <w:t>1,11</w:t>
            </w:r>
            <w:r w:rsidR="00EA7710">
              <w:rPr>
                <w:rFonts w:ascii="Arial" w:hAnsi="Arial" w:cs="Arial"/>
                <w:sz w:val="20"/>
                <w:szCs w:val="20"/>
              </w:rPr>
              <w:t>6</w:t>
            </w:r>
          </w:p>
        </w:tc>
      </w:tr>
      <w:tr w:rsidR="00E54CBC" w:rsidRPr="00FE5290" w14:paraId="26192010" w14:textId="77777777" w:rsidTr="00E54CBC">
        <w:tc>
          <w:tcPr>
            <w:tcW w:w="2972" w:type="dxa"/>
          </w:tcPr>
          <w:p w14:paraId="7FE3A3CC" w14:textId="09FD6A1B" w:rsidR="00E54CBC" w:rsidRPr="00FE5290" w:rsidRDefault="00E54CBC" w:rsidP="004909A2">
            <w:pPr>
              <w:rPr>
                <w:rFonts w:ascii="Arial" w:hAnsi="Arial" w:cs="Arial"/>
                <w:sz w:val="20"/>
                <w:szCs w:val="20"/>
              </w:rPr>
            </w:pPr>
            <w:r w:rsidRPr="00FE5290">
              <w:rPr>
                <w:rFonts w:ascii="Arial" w:hAnsi="Arial" w:cs="Arial"/>
                <w:sz w:val="20"/>
                <w:szCs w:val="20"/>
              </w:rPr>
              <w:t>Other Identified Staff (</w:t>
            </w:r>
            <w:r>
              <w:rPr>
                <w:rFonts w:ascii="Arial" w:hAnsi="Arial" w:cs="Arial"/>
                <w:sz w:val="20"/>
                <w:szCs w:val="20"/>
              </w:rPr>
              <w:t>2</w:t>
            </w:r>
            <w:r w:rsidR="00840A42">
              <w:rPr>
                <w:rFonts w:ascii="Arial" w:hAnsi="Arial" w:cs="Arial"/>
                <w:sz w:val="20"/>
                <w:szCs w:val="20"/>
              </w:rPr>
              <w:t>4</w:t>
            </w:r>
            <w:r w:rsidRPr="00160E62">
              <w:rPr>
                <w:rFonts w:ascii="Arial" w:hAnsi="Arial" w:cs="Arial"/>
                <w:sz w:val="20"/>
                <w:szCs w:val="20"/>
              </w:rPr>
              <w:t>)</w:t>
            </w:r>
            <w:r w:rsidRPr="00160E62">
              <w:rPr>
                <w:rFonts w:ascii="Arial" w:hAnsi="Arial" w:cs="Arial"/>
                <w:sz w:val="20"/>
                <w:szCs w:val="20"/>
                <w:vertAlign w:val="superscript"/>
              </w:rPr>
              <w:t>1</w:t>
            </w:r>
          </w:p>
        </w:tc>
        <w:tc>
          <w:tcPr>
            <w:tcW w:w="1132" w:type="dxa"/>
          </w:tcPr>
          <w:p w14:paraId="5B0FBB99" w14:textId="162EC4CA" w:rsidR="00E54CBC" w:rsidRPr="00FF44CE" w:rsidRDefault="00E54CBC" w:rsidP="004909A2">
            <w:pPr>
              <w:jc w:val="right"/>
              <w:rPr>
                <w:rFonts w:ascii="Arial" w:hAnsi="Arial" w:cs="Arial"/>
                <w:sz w:val="20"/>
                <w:szCs w:val="20"/>
              </w:rPr>
            </w:pPr>
            <w:r>
              <w:rPr>
                <w:rFonts w:ascii="Arial" w:hAnsi="Arial" w:cs="Arial"/>
                <w:sz w:val="20"/>
                <w:szCs w:val="20"/>
              </w:rPr>
              <w:t>4,</w:t>
            </w:r>
            <w:r w:rsidR="00ED446F">
              <w:rPr>
                <w:rFonts w:ascii="Arial" w:hAnsi="Arial" w:cs="Arial"/>
                <w:sz w:val="20"/>
                <w:szCs w:val="20"/>
              </w:rPr>
              <w:t>03</w:t>
            </w:r>
            <w:r>
              <w:rPr>
                <w:rFonts w:ascii="Arial" w:hAnsi="Arial" w:cs="Arial"/>
                <w:sz w:val="20"/>
                <w:szCs w:val="20"/>
              </w:rPr>
              <w:t>2</w:t>
            </w:r>
          </w:p>
        </w:tc>
        <w:tc>
          <w:tcPr>
            <w:tcW w:w="1136" w:type="dxa"/>
          </w:tcPr>
          <w:p w14:paraId="059CCB68" w14:textId="1B51CB31" w:rsidR="00E54CBC" w:rsidRPr="00FF44CE" w:rsidRDefault="009050FF" w:rsidP="004909A2">
            <w:pPr>
              <w:jc w:val="right"/>
              <w:rPr>
                <w:rFonts w:ascii="Arial" w:hAnsi="Arial" w:cs="Arial"/>
                <w:sz w:val="20"/>
                <w:szCs w:val="20"/>
              </w:rPr>
            </w:pPr>
            <w:r>
              <w:rPr>
                <w:rFonts w:ascii="Arial" w:hAnsi="Arial" w:cs="Arial"/>
                <w:sz w:val="20"/>
                <w:szCs w:val="20"/>
              </w:rPr>
              <w:t>85</w:t>
            </w:r>
            <w:r w:rsidR="00ED446F">
              <w:rPr>
                <w:rFonts w:ascii="Arial" w:hAnsi="Arial" w:cs="Arial"/>
                <w:sz w:val="20"/>
                <w:szCs w:val="20"/>
              </w:rPr>
              <w:t>5</w:t>
            </w:r>
          </w:p>
        </w:tc>
        <w:tc>
          <w:tcPr>
            <w:tcW w:w="993" w:type="dxa"/>
          </w:tcPr>
          <w:p w14:paraId="4425550E" w14:textId="59A86D97" w:rsidR="00E54CBC" w:rsidRPr="00FF44CE" w:rsidRDefault="00E54CBC" w:rsidP="004909A2">
            <w:pPr>
              <w:jc w:val="right"/>
              <w:rPr>
                <w:rFonts w:ascii="Arial" w:hAnsi="Arial" w:cs="Arial"/>
                <w:sz w:val="20"/>
                <w:szCs w:val="20"/>
              </w:rPr>
            </w:pPr>
            <w:r>
              <w:rPr>
                <w:rFonts w:ascii="Arial" w:hAnsi="Arial" w:cs="Arial"/>
                <w:sz w:val="20"/>
                <w:szCs w:val="20"/>
              </w:rPr>
              <w:t>3</w:t>
            </w:r>
            <w:r w:rsidR="00ED446F">
              <w:rPr>
                <w:rFonts w:ascii="Arial" w:hAnsi="Arial" w:cs="Arial"/>
                <w:sz w:val="20"/>
                <w:szCs w:val="20"/>
              </w:rPr>
              <w:t>31</w:t>
            </w:r>
          </w:p>
        </w:tc>
        <w:tc>
          <w:tcPr>
            <w:tcW w:w="1134" w:type="dxa"/>
          </w:tcPr>
          <w:p w14:paraId="673CE48F" w14:textId="018C6678" w:rsidR="006178CB" w:rsidRPr="00FF44CE" w:rsidRDefault="00E54CBC" w:rsidP="005E573A">
            <w:pPr>
              <w:jc w:val="right"/>
              <w:rPr>
                <w:rFonts w:ascii="Arial" w:hAnsi="Arial" w:cs="Arial"/>
                <w:sz w:val="20"/>
                <w:szCs w:val="20"/>
              </w:rPr>
            </w:pPr>
            <w:r>
              <w:rPr>
                <w:rFonts w:ascii="Arial" w:hAnsi="Arial" w:cs="Arial"/>
                <w:sz w:val="20"/>
                <w:szCs w:val="20"/>
              </w:rPr>
              <w:t>5,</w:t>
            </w:r>
            <w:r w:rsidR="00E54858">
              <w:rPr>
                <w:rFonts w:ascii="Arial" w:hAnsi="Arial" w:cs="Arial"/>
                <w:sz w:val="20"/>
                <w:szCs w:val="20"/>
              </w:rPr>
              <w:t>218</w:t>
            </w:r>
          </w:p>
        </w:tc>
      </w:tr>
      <w:tr w:rsidR="00E54CBC" w:rsidRPr="00FE5290" w14:paraId="2F104B98" w14:textId="77777777" w:rsidTr="00E54CBC">
        <w:tc>
          <w:tcPr>
            <w:tcW w:w="2972" w:type="dxa"/>
          </w:tcPr>
          <w:p w14:paraId="2CEFBEAF" w14:textId="77777777" w:rsidR="00E54CBC" w:rsidRPr="00FE5290" w:rsidRDefault="00E54CBC" w:rsidP="004909A2">
            <w:pPr>
              <w:jc w:val="right"/>
              <w:rPr>
                <w:rFonts w:ascii="Arial" w:hAnsi="Arial" w:cs="Arial"/>
                <w:b/>
                <w:sz w:val="20"/>
                <w:szCs w:val="20"/>
              </w:rPr>
            </w:pPr>
            <w:r w:rsidRPr="00FE5290">
              <w:rPr>
                <w:rFonts w:ascii="Arial" w:hAnsi="Arial" w:cs="Arial"/>
                <w:b/>
                <w:sz w:val="20"/>
                <w:szCs w:val="20"/>
              </w:rPr>
              <w:t>In total</w:t>
            </w:r>
          </w:p>
        </w:tc>
        <w:tc>
          <w:tcPr>
            <w:tcW w:w="1132" w:type="dxa"/>
            <w:shd w:val="clear" w:color="auto" w:fill="auto"/>
          </w:tcPr>
          <w:p w14:paraId="0473143F" w14:textId="6123FD83" w:rsidR="00E54CBC" w:rsidRPr="00FF44CE" w:rsidRDefault="00E75CAA" w:rsidP="004909A2">
            <w:pPr>
              <w:jc w:val="right"/>
              <w:rPr>
                <w:rFonts w:ascii="Arial" w:hAnsi="Arial" w:cs="Arial"/>
                <w:b/>
                <w:sz w:val="20"/>
                <w:szCs w:val="20"/>
              </w:rPr>
            </w:pPr>
            <w:r>
              <w:rPr>
                <w:rFonts w:ascii="Arial" w:hAnsi="Arial" w:cs="Arial"/>
                <w:b/>
                <w:sz w:val="20"/>
                <w:szCs w:val="20"/>
              </w:rPr>
              <w:t>5,</w:t>
            </w:r>
            <w:r w:rsidR="006D4A0A">
              <w:rPr>
                <w:rFonts w:ascii="Arial" w:hAnsi="Arial" w:cs="Arial"/>
                <w:b/>
                <w:sz w:val="20"/>
                <w:szCs w:val="20"/>
              </w:rPr>
              <w:t>06</w:t>
            </w:r>
            <w:r w:rsidR="00AA5017">
              <w:rPr>
                <w:rFonts w:ascii="Arial" w:hAnsi="Arial" w:cs="Arial"/>
                <w:b/>
                <w:sz w:val="20"/>
                <w:szCs w:val="20"/>
              </w:rPr>
              <w:t>1</w:t>
            </w:r>
          </w:p>
        </w:tc>
        <w:tc>
          <w:tcPr>
            <w:tcW w:w="1136" w:type="dxa"/>
            <w:shd w:val="clear" w:color="auto" w:fill="auto"/>
          </w:tcPr>
          <w:p w14:paraId="4DDC721A" w14:textId="6922567C" w:rsidR="00E54CBC" w:rsidRPr="00FF44CE" w:rsidRDefault="006D4A0A" w:rsidP="004909A2">
            <w:pPr>
              <w:jc w:val="right"/>
              <w:rPr>
                <w:rFonts w:ascii="Arial" w:hAnsi="Arial" w:cs="Arial"/>
                <w:b/>
                <w:sz w:val="20"/>
                <w:szCs w:val="20"/>
              </w:rPr>
            </w:pPr>
            <w:r>
              <w:rPr>
                <w:rFonts w:ascii="Arial" w:hAnsi="Arial" w:cs="Arial"/>
                <w:b/>
                <w:sz w:val="20"/>
                <w:szCs w:val="20"/>
              </w:rPr>
              <w:t>991</w:t>
            </w:r>
          </w:p>
        </w:tc>
        <w:tc>
          <w:tcPr>
            <w:tcW w:w="993" w:type="dxa"/>
            <w:shd w:val="clear" w:color="auto" w:fill="auto"/>
          </w:tcPr>
          <w:p w14:paraId="5F13ECAE" w14:textId="41D9A990" w:rsidR="00E54CBC" w:rsidRPr="00FF44CE" w:rsidRDefault="006D4A0A" w:rsidP="004909A2">
            <w:pPr>
              <w:jc w:val="right"/>
              <w:rPr>
                <w:rFonts w:ascii="Arial" w:hAnsi="Arial" w:cs="Arial"/>
                <w:b/>
                <w:sz w:val="20"/>
                <w:szCs w:val="20"/>
              </w:rPr>
            </w:pPr>
            <w:r>
              <w:rPr>
                <w:rFonts w:ascii="Arial" w:hAnsi="Arial" w:cs="Arial"/>
                <w:b/>
                <w:sz w:val="20"/>
                <w:szCs w:val="20"/>
              </w:rPr>
              <w:t>397</w:t>
            </w:r>
          </w:p>
        </w:tc>
        <w:tc>
          <w:tcPr>
            <w:tcW w:w="1134" w:type="dxa"/>
            <w:shd w:val="clear" w:color="auto" w:fill="auto"/>
          </w:tcPr>
          <w:p w14:paraId="1A6BA7C7" w14:textId="71B3BFFE" w:rsidR="00E54CBC" w:rsidRPr="00FF44CE" w:rsidRDefault="00E54CBC" w:rsidP="004909A2">
            <w:pPr>
              <w:jc w:val="right"/>
              <w:rPr>
                <w:rFonts w:ascii="Arial" w:hAnsi="Arial" w:cs="Arial"/>
                <w:b/>
                <w:sz w:val="20"/>
                <w:szCs w:val="20"/>
              </w:rPr>
            </w:pPr>
            <w:r>
              <w:rPr>
                <w:rFonts w:ascii="Arial" w:hAnsi="Arial" w:cs="Arial"/>
                <w:b/>
                <w:sz w:val="20"/>
                <w:szCs w:val="20"/>
              </w:rPr>
              <w:t>6</w:t>
            </w:r>
            <w:r w:rsidRPr="00FF44CE">
              <w:rPr>
                <w:rFonts w:ascii="Arial" w:hAnsi="Arial" w:cs="Arial"/>
                <w:b/>
                <w:sz w:val="20"/>
                <w:szCs w:val="20"/>
              </w:rPr>
              <w:t>,</w:t>
            </w:r>
            <w:r w:rsidR="00C7174E">
              <w:rPr>
                <w:rFonts w:ascii="Arial" w:hAnsi="Arial" w:cs="Arial"/>
                <w:b/>
                <w:sz w:val="20"/>
                <w:szCs w:val="20"/>
              </w:rPr>
              <w:t>449</w:t>
            </w:r>
          </w:p>
        </w:tc>
      </w:tr>
    </w:tbl>
    <w:p w14:paraId="6BD27BA6" w14:textId="77777777" w:rsidR="00994985" w:rsidRDefault="00994985" w:rsidP="00541AC6">
      <w:pPr>
        <w:ind w:left="567"/>
        <w:rPr>
          <w:rFonts w:ascii="Arial" w:hAnsi="Arial" w:cs="Arial"/>
          <w:sz w:val="18"/>
          <w:szCs w:val="18"/>
        </w:rPr>
      </w:pPr>
    </w:p>
    <w:p w14:paraId="6717D849" w14:textId="77777777" w:rsidR="00994985" w:rsidRDefault="00994985" w:rsidP="00541AC6">
      <w:pPr>
        <w:ind w:left="567"/>
        <w:rPr>
          <w:rFonts w:ascii="Arial" w:hAnsi="Arial" w:cs="Arial"/>
          <w:sz w:val="18"/>
          <w:szCs w:val="18"/>
        </w:rPr>
      </w:pPr>
    </w:p>
    <w:p w14:paraId="31051CE9" w14:textId="77777777" w:rsidR="00994985" w:rsidRDefault="00994985" w:rsidP="00541AC6">
      <w:pPr>
        <w:ind w:left="567"/>
        <w:rPr>
          <w:rFonts w:ascii="Arial" w:hAnsi="Arial" w:cs="Arial"/>
          <w:sz w:val="18"/>
          <w:szCs w:val="18"/>
        </w:rPr>
      </w:pPr>
    </w:p>
    <w:p w14:paraId="38ADFD51" w14:textId="77777777" w:rsidR="00994985" w:rsidRDefault="00994985" w:rsidP="00541AC6">
      <w:pPr>
        <w:ind w:left="567"/>
        <w:rPr>
          <w:rFonts w:ascii="Arial" w:hAnsi="Arial" w:cs="Arial"/>
          <w:sz w:val="18"/>
          <w:szCs w:val="18"/>
        </w:rPr>
      </w:pPr>
    </w:p>
    <w:p w14:paraId="39A025DD" w14:textId="7ACBA5AE" w:rsidR="00B43111" w:rsidRPr="00FD3FFD" w:rsidRDefault="00541AC6" w:rsidP="00FD3FFD">
      <w:pPr>
        <w:ind w:left="567"/>
        <w:rPr>
          <w:rFonts w:ascii="Arial" w:hAnsi="Arial" w:cs="Arial"/>
          <w:i/>
          <w:sz w:val="18"/>
          <w:szCs w:val="18"/>
        </w:rPr>
      </w:pPr>
      <w:r w:rsidRPr="00D96419">
        <w:rPr>
          <w:rFonts w:ascii="Arial" w:hAnsi="Arial" w:cs="Arial"/>
          <w:sz w:val="18"/>
          <w:szCs w:val="18"/>
        </w:rPr>
        <w:t>)</w:t>
      </w:r>
      <w:r>
        <w:rPr>
          <w:rFonts w:ascii="Arial" w:hAnsi="Arial" w:cs="Arial"/>
          <w:sz w:val="18"/>
          <w:szCs w:val="18"/>
          <w:vertAlign w:val="superscript"/>
        </w:rPr>
        <w:t>1</w:t>
      </w:r>
      <w:r w:rsidRPr="00D96419">
        <w:rPr>
          <w:rFonts w:ascii="Arial" w:hAnsi="Arial" w:cs="Arial"/>
          <w:sz w:val="18"/>
          <w:szCs w:val="18"/>
        </w:rPr>
        <w:t xml:space="preserve">   </w:t>
      </w:r>
      <w:r w:rsidRPr="00F97874">
        <w:rPr>
          <w:rFonts w:ascii="Arial" w:hAnsi="Arial" w:cs="Arial"/>
          <w:i/>
          <w:sz w:val="18"/>
          <w:szCs w:val="18"/>
        </w:rPr>
        <w:t>Number of persons as per 31 December 20</w:t>
      </w:r>
      <w:r>
        <w:rPr>
          <w:rFonts w:ascii="Arial" w:hAnsi="Arial" w:cs="Arial"/>
          <w:i/>
          <w:sz w:val="18"/>
          <w:szCs w:val="18"/>
        </w:rPr>
        <w:t>2</w:t>
      </w:r>
      <w:r w:rsidR="003E3CE0">
        <w:rPr>
          <w:rFonts w:ascii="Arial" w:hAnsi="Arial" w:cs="Arial"/>
          <w:i/>
          <w:sz w:val="18"/>
          <w:szCs w:val="18"/>
        </w:rPr>
        <w:t>2</w:t>
      </w:r>
      <w:r w:rsidRPr="00F97874">
        <w:rPr>
          <w:rFonts w:ascii="Arial" w:hAnsi="Arial" w:cs="Arial"/>
          <w:i/>
          <w:sz w:val="18"/>
          <w:szCs w:val="18"/>
        </w:rPr>
        <w:t xml:space="preserve"> (staff changes during 20</w:t>
      </w:r>
      <w:r>
        <w:rPr>
          <w:rFonts w:ascii="Arial" w:hAnsi="Arial" w:cs="Arial"/>
          <w:i/>
          <w:sz w:val="18"/>
          <w:szCs w:val="18"/>
        </w:rPr>
        <w:t>2</w:t>
      </w:r>
      <w:r w:rsidR="003E3CE0">
        <w:rPr>
          <w:rFonts w:ascii="Arial" w:hAnsi="Arial" w:cs="Arial"/>
          <w:i/>
          <w:sz w:val="18"/>
          <w:szCs w:val="18"/>
        </w:rPr>
        <w:t>2</w:t>
      </w:r>
      <w:r w:rsidRPr="00F97874">
        <w:rPr>
          <w:rFonts w:ascii="Arial" w:hAnsi="Arial" w:cs="Arial"/>
          <w:i/>
          <w:sz w:val="18"/>
          <w:szCs w:val="18"/>
        </w:rPr>
        <w:t xml:space="preserve"> are included pro rata).</w:t>
      </w:r>
    </w:p>
    <w:p w14:paraId="5DD924E3" w14:textId="49022C4B" w:rsidR="00541AC6" w:rsidRDefault="00541AC6" w:rsidP="005F7451">
      <w:pPr>
        <w:ind w:left="851" w:hanging="284"/>
        <w:rPr>
          <w:rFonts w:ascii="Arial" w:hAnsi="Arial" w:cs="Arial"/>
          <w:iCs/>
          <w:sz w:val="18"/>
          <w:szCs w:val="18"/>
        </w:rPr>
      </w:pPr>
      <w:r w:rsidRPr="00D96419">
        <w:rPr>
          <w:rFonts w:ascii="Arial" w:hAnsi="Arial" w:cs="Arial"/>
          <w:sz w:val="18"/>
          <w:szCs w:val="18"/>
        </w:rPr>
        <w:lastRenderedPageBreak/>
        <w:t>)</w:t>
      </w:r>
      <w:r w:rsidRPr="00D96419">
        <w:rPr>
          <w:rFonts w:ascii="Arial" w:hAnsi="Arial" w:cs="Arial"/>
          <w:sz w:val="18"/>
          <w:szCs w:val="18"/>
          <w:vertAlign w:val="superscript"/>
        </w:rPr>
        <w:t>2</w:t>
      </w:r>
      <w:r w:rsidRPr="00D96419">
        <w:rPr>
          <w:rFonts w:ascii="Arial" w:hAnsi="Arial" w:cs="Arial"/>
          <w:sz w:val="18"/>
          <w:szCs w:val="18"/>
        </w:rPr>
        <w:t xml:space="preserve">   </w:t>
      </w:r>
      <w:r w:rsidRPr="00F97874">
        <w:rPr>
          <w:rFonts w:ascii="Arial" w:hAnsi="Arial" w:cs="Arial"/>
          <w:i/>
          <w:sz w:val="18"/>
          <w:szCs w:val="18"/>
        </w:rPr>
        <w:t>This relates to fixed reimbursements of expenses, contributions to a company car/ mobility allowance, compensations of interest on mortgages (only applicable for employees already in service of FMO on 31 December 2016).</w:t>
      </w:r>
    </w:p>
    <w:tbl>
      <w:tblPr>
        <w:tblStyle w:val="TableGrid"/>
        <w:tblpPr w:leftFromText="180" w:rightFromText="180" w:vertAnchor="text" w:horzAnchor="margin" w:tblpY="8"/>
        <w:tblW w:w="8926" w:type="dxa"/>
        <w:tblLook w:val="04A0" w:firstRow="1" w:lastRow="0" w:firstColumn="1" w:lastColumn="0" w:noHBand="0" w:noVBand="1"/>
      </w:tblPr>
      <w:tblGrid>
        <w:gridCol w:w="2972"/>
        <w:gridCol w:w="1132"/>
        <w:gridCol w:w="1136"/>
        <w:gridCol w:w="1559"/>
        <w:gridCol w:w="993"/>
        <w:gridCol w:w="1134"/>
      </w:tblGrid>
      <w:tr w:rsidR="00201A59" w:rsidRPr="00FE5290" w14:paraId="5889692A" w14:textId="77777777" w:rsidTr="002B6035">
        <w:tc>
          <w:tcPr>
            <w:tcW w:w="2972" w:type="dxa"/>
          </w:tcPr>
          <w:p w14:paraId="02A1C9AC" w14:textId="1AD3CD0D" w:rsidR="00201A59" w:rsidRPr="00FE5290" w:rsidRDefault="00201A59" w:rsidP="002B6035">
            <w:pPr>
              <w:rPr>
                <w:rFonts w:ascii="Arial" w:hAnsi="Arial" w:cs="Arial"/>
                <w:sz w:val="20"/>
                <w:szCs w:val="20"/>
              </w:rPr>
            </w:pPr>
            <w:r>
              <w:rPr>
                <w:rFonts w:ascii="Arial" w:hAnsi="Arial" w:cs="Arial"/>
                <w:b/>
                <w:sz w:val="20"/>
                <w:szCs w:val="20"/>
              </w:rPr>
              <w:t>2021</w:t>
            </w:r>
            <w:r w:rsidRPr="00FE5290">
              <w:rPr>
                <w:rFonts w:ascii="Arial" w:hAnsi="Arial" w:cs="Arial"/>
                <w:sz w:val="20"/>
                <w:szCs w:val="20"/>
              </w:rPr>
              <w:t xml:space="preserve">           </w:t>
            </w:r>
            <w:r>
              <w:rPr>
                <w:rFonts w:ascii="Arial" w:hAnsi="Arial" w:cs="Arial"/>
                <w:sz w:val="20"/>
                <w:szCs w:val="20"/>
              </w:rPr>
              <w:t xml:space="preserve">         </w:t>
            </w:r>
            <w:r w:rsidRPr="00FE5290">
              <w:rPr>
                <w:rFonts w:ascii="Arial" w:hAnsi="Arial" w:cs="Arial"/>
                <w:sz w:val="20"/>
                <w:szCs w:val="20"/>
              </w:rPr>
              <w:t xml:space="preserve">  </w:t>
            </w:r>
            <w:r w:rsidRPr="00603AC1">
              <w:rPr>
                <w:rFonts w:ascii="Arial" w:hAnsi="Arial" w:cs="Arial"/>
                <w:sz w:val="16"/>
                <w:szCs w:val="16"/>
              </w:rPr>
              <w:t xml:space="preserve">(x 1,000 </w:t>
            </w:r>
            <w:r w:rsidR="00FD3FFD">
              <w:rPr>
                <w:rFonts w:ascii="Arial" w:hAnsi="Arial" w:cs="Arial"/>
                <w:sz w:val="16"/>
                <w:szCs w:val="16"/>
              </w:rPr>
              <w:t>€</w:t>
            </w:r>
            <w:r w:rsidRPr="00603AC1">
              <w:rPr>
                <w:rFonts w:ascii="Arial" w:hAnsi="Arial" w:cs="Arial"/>
                <w:sz w:val="16"/>
                <w:szCs w:val="16"/>
              </w:rPr>
              <w:t>)</w:t>
            </w:r>
          </w:p>
        </w:tc>
        <w:tc>
          <w:tcPr>
            <w:tcW w:w="1132" w:type="dxa"/>
          </w:tcPr>
          <w:p w14:paraId="13C2846F" w14:textId="77777777" w:rsidR="00201A59" w:rsidRPr="00FE5290" w:rsidRDefault="00201A59" w:rsidP="002B6035">
            <w:pPr>
              <w:jc w:val="right"/>
              <w:rPr>
                <w:rFonts w:ascii="Arial" w:hAnsi="Arial" w:cs="Arial"/>
                <w:b/>
                <w:sz w:val="20"/>
                <w:szCs w:val="20"/>
              </w:rPr>
            </w:pPr>
            <w:r w:rsidRPr="00FE5290">
              <w:rPr>
                <w:rFonts w:ascii="Arial" w:hAnsi="Arial" w:cs="Arial"/>
                <w:b/>
                <w:sz w:val="20"/>
                <w:szCs w:val="20"/>
              </w:rPr>
              <w:t>Fixed income</w:t>
            </w:r>
          </w:p>
        </w:tc>
        <w:tc>
          <w:tcPr>
            <w:tcW w:w="1136" w:type="dxa"/>
          </w:tcPr>
          <w:p w14:paraId="285F4B9A" w14:textId="77777777" w:rsidR="00201A59" w:rsidRPr="00FE5290" w:rsidRDefault="00201A59" w:rsidP="002B6035">
            <w:pPr>
              <w:jc w:val="right"/>
              <w:rPr>
                <w:rFonts w:ascii="Arial" w:hAnsi="Arial" w:cs="Arial"/>
                <w:b/>
                <w:sz w:val="20"/>
                <w:szCs w:val="20"/>
              </w:rPr>
            </w:pPr>
            <w:r w:rsidRPr="00FE5290">
              <w:rPr>
                <w:rFonts w:ascii="Arial" w:hAnsi="Arial" w:cs="Arial"/>
                <w:b/>
                <w:sz w:val="20"/>
                <w:szCs w:val="20"/>
              </w:rPr>
              <w:t>Pension</w:t>
            </w:r>
          </w:p>
        </w:tc>
        <w:tc>
          <w:tcPr>
            <w:tcW w:w="1559" w:type="dxa"/>
          </w:tcPr>
          <w:p w14:paraId="6AE4230B" w14:textId="77777777" w:rsidR="00201A59" w:rsidRPr="00FE5290" w:rsidRDefault="00201A59" w:rsidP="002B6035">
            <w:pPr>
              <w:jc w:val="right"/>
              <w:rPr>
                <w:rFonts w:ascii="Arial" w:hAnsi="Arial" w:cs="Arial"/>
                <w:b/>
                <w:sz w:val="20"/>
                <w:szCs w:val="20"/>
              </w:rPr>
            </w:pPr>
            <w:r w:rsidRPr="00FE5290">
              <w:rPr>
                <w:rFonts w:ascii="Arial" w:hAnsi="Arial" w:cs="Arial"/>
                <w:b/>
                <w:sz w:val="20"/>
                <w:szCs w:val="20"/>
              </w:rPr>
              <w:t>Allowance for Retirement</w:t>
            </w:r>
          </w:p>
        </w:tc>
        <w:tc>
          <w:tcPr>
            <w:tcW w:w="993" w:type="dxa"/>
          </w:tcPr>
          <w:p w14:paraId="4D213D81" w14:textId="77777777" w:rsidR="00201A59" w:rsidRPr="00FE5290" w:rsidRDefault="00201A59" w:rsidP="002B6035">
            <w:pPr>
              <w:jc w:val="right"/>
              <w:rPr>
                <w:rFonts w:ascii="Arial" w:hAnsi="Arial" w:cs="Arial"/>
                <w:b/>
                <w:sz w:val="20"/>
                <w:szCs w:val="20"/>
                <w:vertAlign w:val="superscript"/>
              </w:rPr>
            </w:pPr>
            <w:r w:rsidRPr="00FE5290">
              <w:rPr>
                <w:rFonts w:ascii="Arial" w:hAnsi="Arial" w:cs="Arial"/>
                <w:b/>
                <w:sz w:val="20"/>
                <w:szCs w:val="20"/>
              </w:rPr>
              <w:t>Other</w:t>
            </w:r>
            <w:r w:rsidRPr="00FE5290">
              <w:rPr>
                <w:rFonts w:ascii="Arial" w:hAnsi="Arial" w:cs="Arial"/>
                <w:b/>
                <w:sz w:val="20"/>
                <w:szCs w:val="20"/>
                <w:vertAlign w:val="superscript"/>
              </w:rPr>
              <w:t>2</w:t>
            </w:r>
          </w:p>
        </w:tc>
        <w:tc>
          <w:tcPr>
            <w:tcW w:w="1134" w:type="dxa"/>
          </w:tcPr>
          <w:p w14:paraId="0F4155E8" w14:textId="77777777" w:rsidR="00201A59" w:rsidRPr="00FE5290" w:rsidRDefault="00201A59" w:rsidP="002B6035">
            <w:pPr>
              <w:jc w:val="right"/>
              <w:rPr>
                <w:rFonts w:ascii="Arial" w:hAnsi="Arial" w:cs="Arial"/>
                <w:b/>
                <w:sz w:val="20"/>
                <w:szCs w:val="20"/>
              </w:rPr>
            </w:pPr>
            <w:r w:rsidRPr="00FE5290">
              <w:rPr>
                <w:rFonts w:ascii="Arial" w:hAnsi="Arial" w:cs="Arial"/>
                <w:b/>
                <w:sz w:val="20"/>
                <w:szCs w:val="20"/>
              </w:rPr>
              <w:t>Total</w:t>
            </w:r>
          </w:p>
        </w:tc>
      </w:tr>
      <w:tr w:rsidR="00201A59" w:rsidRPr="00FE5290" w14:paraId="058E2320" w14:textId="77777777" w:rsidTr="002B6035">
        <w:tc>
          <w:tcPr>
            <w:tcW w:w="2972" w:type="dxa"/>
          </w:tcPr>
          <w:p w14:paraId="2A945FD4" w14:textId="2903E1AE" w:rsidR="00201A59" w:rsidRPr="00FE5290" w:rsidRDefault="00201A59" w:rsidP="002B6035">
            <w:pPr>
              <w:rPr>
                <w:rFonts w:ascii="Arial" w:hAnsi="Arial" w:cs="Arial"/>
                <w:sz w:val="20"/>
                <w:szCs w:val="20"/>
              </w:rPr>
            </w:pPr>
            <w:r w:rsidRPr="00FE5290">
              <w:rPr>
                <w:rFonts w:ascii="Arial" w:hAnsi="Arial" w:cs="Arial"/>
                <w:sz w:val="20"/>
                <w:szCs w:val="20"/>
              </w:rPr>
              <w:t>Supervisory Board</w:t>
            </w:r>
            <w:r>
              <w:rPr>
                <w:rFonts w:ascii="Arial" w:hAnsi="Arial" w:cs="Arial"/>
                <w:sz w:val="20"/>
                <w:szCs w:val="20"/>
              </w:rPr>
              <w:t xml:space="preserve"> (</w:t>
            </w:r>
            <w:r w:rsidR="003B2023">
              <w:rPr>
                <w:rFonts w:ascii="Arial" w:hAnsi="Arial" w:cs="Arial"/>
                <w:sz w:val="20"/>
                <w:szCs w:val="20"/>
              </w:rPr>
              <w:t>6</w:t>
            </w:r>
            <w:r w:rsidRPr="00FE5290">
              <w:rPr>
                <w:rFonts w:ascii="Arial" w:hAnsi="Arial" w:cs="Arial"/>
                <w:sz w:val="20"/>
                <w:szCs w:val="20"/>
              </w:rPr>
              <w:t>)</w:t>
            </w:r>
            <w:r w:rsidRPr="00FE5290">
              <w:rPr>
                <w:rFonts w:ascii="Arial" w:hAnsi="Arial" w:cs="Arial"/>
                <w:sz w:val="20"/>
                <w:szCs w:val="20"/>
                <w:vertAlign w:val="superscript"/>
              </w:rPr>
              <w:t>1</w:t>
            </w:r>
          </w:p>
        </w:tc>
        <w:tc>
          <w:tcPr>
            <w:tcW w:w="1132" w:type="dxa"/>
          </w:tcPr>
          <w:p w14:paraId="192D0D41" w14:textId="14CD8C0D" w:rsidR="00201A59" w:rsidRPr="00833891" w:rsidRDefault="00201A59" w:rsidP="002B6035">
            <w:pPr>
              <w:jc w:val="right"/>
              <w:rPr>
                <w:rFonts w:ascii="Arial" w:hAnsi="Arial" w:cs="Arial"/>
                <w:sz w:val="20"/>
                <w:szCs w:val="20"/>
                <w:highlight w:val="yellow"/>
              </w:rPr>
            </w:pPr>
            <w:r>
              <w:rPr>
                <w:rFonts w:ascii="Arial" w:hAnsi="Arial" w:cs="Arial"/>
                <w:sz w:val="20"/>
                <w:szCs w:val="20"/>
              </w:rPr>
              <w:t>13</w:t>
            </w:r>
            <w:r w:rsidR="00DF38E3">
              <w:rPr>
                <w:rFonts w:ascii="Arial" w:hAnsi="Arial" w:cs="Arial"/>
                <w:sz w:val="20"/>
                <w:szCs w:val="20"/>
              </w:rPr>
              <w:t>4</w:t>
            </w:r>
          </w:p>
        </w:tc>
        <w:tc>
          <w:tcPr>
            <w:tcW w:w="1136" w:type="dxa"/>
          </w:tcPr>
          <w:p w14:paraId="706223CB" w14:textId="77777777" w:rsidR="00201A59" w:rsidRPr="00160E62" w:rsidRDefault="00201A59" w:rsidP="002B6035">
            <w:pPr>
              <w:jc w:val="right"/>
              <w:rPr>
                <w:rFonts w:ascii="Arial" w:hAnsi="Arial" w:cs="Arial"/>
                <w:sz w:val="20"/>
                <w:szCs w:val="20"/>
              </w:rPr>
            </w:pPr>
            <w:r w:rsidRPr="00160E62">
              <w:rPr>
                <w:rFonts w:ascii="Arial" w:hAnsi="Arial" w:cs="Arial"/>
                <w:sz w:val="20"/>
                <w:szCs w:val="20"/>
              </w:rPr>
              <w:t>-</w:t>
            </w:r>
          </w:p>
        </w:tc>
        <w:tc>
          <w:tcPr>
            <w:tcW w:w="1559" w:type="dxa"/>
          </w:tcPr>
          <w:p w14:paraId="000410E5" w14:textId="77777777" w:rsidR="00201A59" w:rsidRPr="00160E62" w:rsidRDefault="00201A59" w:rsidP="002B6035">
            <w:pPr>
              <w:jc w:val="right"/>
              <w:rPr>
                <w:rFonts w:ascii="Arial" w:hAnsi="Arial" w:cs="Arial"/>
                <w:sz w:val="20"/>
                <w:szCs w:val="20"/>
              </w:rPr>
            </w:pPr>
            <w:r w:rsidRPr="00160E62">
              <w:rPr>
                <w:rFonts w:ascii="Arial" w:hAnsi="Arial" w:cs="Arial"/>
                <w:sz w:val="20"/>
                <w:szCs w:val="20"/>
              </w:rPr>
              <w:t>-</w:t>
            </w:r>
          </w:p>
        </w:tc>
        <w:tc>
          <w:tcPr>
            <w:tcW w:w="993" w:type="dxa"/>
          </w:tcPr>
          <w:p w14:paraId="3708D544" w14:textId="77777777" w:rsidR="00201A59" w:rsidRPr="00160E62" w:rsidRDefault="00201A59" w:rsidP="002B6035">
            <w:pPr>
              <w:jc w:val="right"/>
              <w:rPr>
                <w:rFonts w:ascii="Arial" w:hAnsi="Arial" w:cs="Arial"/>
                <w:sz w:val="20"/>
                <w:szCs w:val="20"/>
              </w:rPr>
            </w:pPr>
            <w:r w:rsidRPr="00160E62">
              <w:rPr>
                <w:rFonts w:ascii="Arial" w:hAnsi="Arial" w:cs="Arial"/>
                <w:sz w:val="20"/>
                <w:szCs w:val="20"/>
              </w:rPr>
              <w:t>-</w:t>
            </w:r>
          </w:p>
        </w:tc>
        <w:tc>
          <w:tcPr>
            <w:tcW w:w="1134" w:type="dxa"/>
          </w:tcPr>
          <w:p w14:paraId="68EA74C2" w14:textId="474DE129" w:rsidR="00201A59" w:rsidRPr="00160E62" w:rsidRDefault="00201A59" w:rsidP="002B6035">
            <w:pPr>
              <w:jc w:val="right"/>
              <w:rPr>
                <w:rFonts w:ascii="Arial" w:hAnsi="Arial" w:cs="Arial"/>
                <w:sz w:val="20"/>
                <w:szCs w:val="20"/>
              </w:rPr>
            </w:pPr>
            <w:r>
              <w:rPr>
                <w:rFonts w:ascii="Arial" w:hAnsi="Arial" w:cs="Arial"/>
                <w:sz w:val="20"/>
                <w:szCs w:val="20"/>
              </w:rPr>
              <w:t>13</w:t>
            </w:r>
            <w:r w:rsidR="006C7CFD">
              <w:rPr>
                <w:rFonts w:ascii="Arial" w:hAnsi="Arial" w:cs="Arial"/>
                <w:sz w:val="20"/>
                <w:szCs w:val="20"/>
              </w:rPr>
              <w:t>4</w:t>
            </w:r>
          </w:p>
        </w:tc>
      </w:tr>
      <w:tr w:rsidR="00201A59" w:rsidRPr="00FE5290" w14:paraId="62CB5F06" w14:textId="77777777" w:rsidTr="002B6035">
        <w:tc>
          <w:tcPr>
            <w:tcW w:w="2972" w:type="dxa"/>
          </w:tcPr>
          <w:p w14:paraId="38E644A3" w14:textId="77777777" w:rsidR="00201A59" w:rsidRPr="00FE5290" w:rsidRDefault="00201A59" w:rsidP="002B6035">
            <w:pPr>
              <w:rPr>
                <w:rFonts w:ascii="Arial" w:hAnsi="Arial" w:cs="Arial"/>
                <w:sz w:val="20"/>
                <w:szCs w:val="20"/>
                <w:vertAlign w:val="superscript"/>
              </w:rPr>
            </w:pPr>
            <w:r w:rsidRPr="00FE5290">
              <w:rPr>
                <w:rFonts w:ascii="Arial" w:hAnsi="Arial" w:cs="Arial"/>
                <w:sz w:val="20"/>
                <w:szCs w:val="20"/>
              </w:rPr>
              <w:t>Management Board (3)</w:t>
            </w:r>
            <w:r w:rsidRPr="00FE5290">
              <w:rPr>
                <w:rFonts w:ascii="Arial" w:hAnsi="Arial" w:cs="Arial"/>
                <w:sz w:val="20"/>
                <w:szCs w:val="20"/>
                <w:vertAlign w:val="superscript"/>
              </w:rPr>
              <w:t>1</w:t>
            </w:r>
          </w:p>
        </w:tc>
        <w:tc>
          <w:tcPr>
            <w:tcW w:w="1132" w:type="dxa"/>
          </w:tcPr>
          <w:p w14:paraId="74E3FC06" w14:textId="58E70010" w:rsidR="00201A59" w:rsidRPr="00160E62" w:rsidRDefault="00F277BB" w:rsidP="002B6035">
            <w:pPr>
              <w:jc w:val="right"/>
              <w:rPr>
                <w:rFonts w:ascii="Arial" w:hAnsi="Arial" w:cs="Arial"/>
                <w:sz w:val="20"/>
                <w:szCs w:val="20"/>
              </w:rPr>
            </w:pPr>
            <w:r>
              <w:rPr>
                <w:rFonts w:ascii="Arial" w:hAnsi="Arial" w:cs="Arial"/>
                <w:sz w:val="20"/>
                <w:szCs w:val="20"/>
              </w:rPr>
              <w:t>8</w:t>
            </w:r>
            <w:r w:rsidR="005605BB">
              <w:rPr>
                <w:rFonts w:ascii="Arial" w:hAnsi="Arial" w:cs="Arial"/>
                <w:sz w:val="20"/>
                <w:szCs w:val="20"/>
              </w:rPr>
              <w:t>35</w:t>
            </w:r>
          </w:p>
        </w:tc>
        <w:tc>
          <w:tcPr>
            <w:tcW w:w="1136" w:type="dxa"/>
          </w:tcPr>
          <w:p w14:paraId="69487813" w14:textId="593BA517" w:rsidR="00201A59" w:rsidRPr="00160E62" w:rsidRDefault="00201A59" w:rsidP="002B6035">
            <w:pPr>
              <w:jc w:val="right"/>
              <w:rPr>
                <w:rFonts w:ascii="Arial" w:hAnsi="Arial" w:cs="Arial"/>
                <w:sz w:val="20"/>
                <w:szCs w:val="20"/>
              </w:rPr>
            </w:pPr>
            <w:r>
              <w:rPr>
                <w:rFonts w:ascii="Arial" w:hAnsi="Arial" w:cs="Arial"/>
                <w:sz w:val="20"/>
                <w:szCs w:val="20"/>
              </w:rPr>
              <w:t>1</w:t>
            </w:r>
            <w:r w:rsidR="005605BB">
              <w:rPr>
                <w:rFonts w:ascii="Arial" w:hAnsi="Arial" w:cs="Arial"/>
                <w:sz w:val="20"/>
                <w:szCs w:val="20"/>
              </w:rPr>
              <w:t>18</w:t>
            </w:r>
          </w:p>
        </w:tc>
        <w:tc>
          <w:tcPr>
            <w:tcW w:w="1559" w:type="dxa"/>
          </w:tcPr>
          <w:p w14:paraId="1C336186" w14:textId="782DAAFE" w:rsidR="00201A59" w:rsidRPr="00160E62" w:rsidRDefault="00201A59" w:rsidP="002B6035">
            <w:pPr>
              <w:jc w:val="right"/>
              <w:rPr>
                <w:rFonts w:ascii="Arial" w:hAnsi="Arial" w:cs="Arial"/>
                <w:sz w:val="20"/>
                <w:szCs w:val="20"/>
              </w:rPr>
            </w:pPr>
            <w:r w:rsidRPr="00160E62">
              <w:rPr>
                <w:rFonts w:ascii="Arial" w:hAnsi="Arial" w:cs="Arial"/>
                <w:sz w:val="20"/>
                <w:szCs w:val="20"/>
              </w:rPr>
              <w:t>3</w:t>
            </w:r>
            <w:r w:rsidR="00921E65">
              <w:rPr>
                <w:rFonts w:ascii="Arial" w:hAnsi="Arial" w:cs="Arial"/>
                <w:sz w:val="20"/>
                <w:szCs w:val="20"/>
              </w:rPr>
              <w:t>3</w:t>
            </w:r>
          </w:p>
        </w:tc>
        <w:tc>
          <w:tcPr>
            <w:tcW w:w="993" w:type="dxa"/>
          </w:tcPr>
          <w:p w14:paraId="7A310561" w14:textId="0883F1B5" w:rsidR="00201A59" w:rsidRPr="00160E62" w:rsidRDefault="006C7CFD" w:rsidP="002B6035">
            <w:pPr>
              <w:jc w:val="right"/>
              <w:rPr>
                <w:rFonts w:ascii="Arial" w:hAnsi="Arial" w:cs="Arial"/>
                <w:sz w:val="20"/>
                <w:szCs w:val="20"/>
              </w:rPr>
            </w:pPr>
            <w:r>
              <w:rPr>
                <w:rFonts w:ascii="Arial" w:hAnsi="Arial" w:cs="Arial"/>
                <w:sz w:val="20"/>
                <w:szCs w:val="20"/>
              </w:rPr>
              <w:t>78</w:t>
            </w:r>
          </w:p>
        </w:tc>
        <w:tc>
          <w:tcPr>
            <w:tcW w:w="1134" w:type="dxa"/>
          </w:tcPr>
          <w:p w14:paraId="45A840D1" w14:textId="4842FA29" w:rsidR="00201A59" w:rsidRPr="00160E62" w:rsidRDefault="00A64A6C" w:rsidP="002B6035">
            <w:pPr>
              <w:jc w:val="right"/>
              <w:rPr>
                <w:rFonts w:ascii="Arial" w:hAnsi="Arial" w:cs="Arial"/>
                <w:sz w:val="20"/>
                <w:szCs w:val="20"/>
              </w:rPr>
            </w:pPr>
            <w:r>
              <w:rPr>
                <w:rFonts w:ascii="Arial" w:hAnsi="Arial" w:cs="Arial"/>
                <w:sz w:val="20"/>
                <w:szCs w:val="20"/>
              </w:rPr>
              <w:t>1</w:t>
            </w:r>
            <w:r w:rsidR="00921E65">
              <w:rPr>
                <w:rFonts w:ascii="Arial" w:hAnsi="Arial" w:cs="Arial"/>
                <w:sz w:val="20"/>
                <w:szCs w:val="20"/>
              </w:rPr>
              <w:t>,</w:t>
            </w:r>
            <w:r>
              <w:rPr>
                <w:rFonts w:ascii="Arial" w:hAnsi="Arial" w:cs="Arial"/>
                <w:sz w:val="20"/>
                <w:szCs w:val="20"/>
              </w:rPr>
              <w:t>055</w:t>
            </w:r>
          </w:p>
        </w:tc>
      </w:tr>
      <w:tr w:rsidR="00201A59" w:rsidRPr="00FE5290" w14:paraId="2BEE03BA" w14:textId="77777777" w:rsidTr="002B6035">
        <w:tc>
          <w:tcPr>
            <w:tcW w:w="2972" w:type="dxa"/>
          </w:tcPr>
          <w:p w14:paraId="2F0965DD" w14:textId="2A844F91" w:rsidR="00201A59" w:rsidRPr="00FE5290" w:rsidRDefault="00201A59" w:rsidP="002B6035">
            <w:pPr>
              <w:rPr>
                <w:rFonts w:ascii="Arial" w:hAnsi="Arial" w:cs="Arial"/>
                <w:sz w:val="20"/>
                <w:szCs w:val="20"/>
              </w:rPr>
            </w:pPr>
            <w:r w:rsidRPr="00FE5290">
              <w:rPr>
                <w:rFonts w:ascii="Arial" w:hAnsi="Arial" w:cs="Arial"/>
                <w:sz w:val="20"/>
                <w:szCs w:val="20"/>
              </w:rPr>
              <w:t>Other Identified Staff (</w:t>
            </w:r>
            <w:r>
              <w:rPr>
                <w:rFonts w:ascii="Arial" w:hAnsi="Arial" w:cs="Arial"/>
                <w:sz w:val="20"/>
                <w:szCs w:val="20"/>
              </w:rPr>
              <w:t>2</w:t>
            </w:r>
            <w:r w:rsidR="002568F5">
              <w:rPr>
                <w:rFonts w:ascii="Arial" w:hAnsi="Arial" w:cs="Arial"/>
                <w:sz w:val="20"/>
                <w:szCs w:val="20"/>
              </w:rPr>
              <w:t>1</w:t>
            </w:r>
            <w:r w:rsidRPr="00160E62">
              <w:rPr>
                <w:rFonts w:ascii="Arial" w:hAnsi="Arial" w:cs="Arial"/>
                <w:sz w:val="20"/>
                <w:szCs w:val="20"/>
              </w:rPr>
              <w:t>)</w:t>
            </w:r>
            <w:r w:rsidRPr="00160E62">
              <w:rPr>
                <w:rFonts w:ascii="Arial" w:hAnsi="Arial" w:cs="Arial"/>
                <w:sz w:val="20"/>
                <w:szCs w:val="20"/>
                <w:vertAlign w:val="superscript"/>
              </w:rPr>
              <w:t>1</w:t>
            </w:r>
          </w:p>
        </w:tc>
        <w:tc>
          <w:tcPr>
            <w:tcW w:w="1132" w:type="dxa"/>
          </w:tcPr>
          <w:p w14:paraId="16958C5B" w14:textId="564D8659" w:rsidR="00201A59" w:rsidRPr="00FF44CE" w:rsidRDefault="008B579B" w:rsidP="002B6035">
            <w:pPr>
              <w:jc w:val="right"/>
              <w:rPr>
                <w:rFonts w:ascii="Arial" w:hAnsi="Arial" w:cs="Arial"/>
                <w:sz w:val="20"/>
                <w:szCs w:val="20"/>
              </w:rPr>
            </w:pPr>
            <w:r>
              <w:rPr>
                <w:rFonts w:ascii="Arial" w:hAnsi="Arial" w:cs="Arial"/>
                <w:sz w:val="20"/>
                <w:szCs w:val="20"/>
              </w:rPr>
              <w:t>3,998</w:t>
            </w:r>
          </w:p>
        </w:tc>
        <w:tc>
          <w:tcPr>
            <w:tcW w:w="1136" w:type="dxa"/>
          </w:tcPr>
          <w:p w14:paraId="023633F6" w14:textId="609FD907" w:rsidR="00201A59" w:rsidRPr="00FF44CE" w:rsidRDefault="00DC2920" w:rsidP="002B6035">
            <w:pPr>
              <w:jc w:val="right"/>
              <w:rPr>
                <w:rFonts w:ascii="Arial" w:hAnsi="Arial" w:cs="Arial"/>
                <w:sz w:val="20"/>
                <w:szCs w:val="20"/>
              </w:rPr>
            </w:pPr>
            <w:r>
              <w:rPr>
                <w:rFonts w:ascii="Arial" w:hAnsi="Arial" w:cs="Arial"/>
                <w:sz w:val="20"/>
                <w:szCs w:val="20"/>
              </w:rPr>
              <w:t>847</w:t>
            </w:r>
          </w:p>
        </w:tc>
        <w:tc>
          <w:tcPr>
            <w:tcW w:w="1559" w:type="dxa"/>
          </w:tcPr>
          <w:p w14:paraId="747420FB" w14:textId="5FD7EF8B" w:rsidR="00201A59" w:rsidRPr="00FF44CE" w:rsidRDefault="00DC2920" w:rsidP="002B6035">
            <w:pPr>
              <w:jc w:val="right"/>
              <w:rPr>
                <w:rFonts w:ascii="Arial" w:hAnsi="Arial" w:cs="Arial"/>
                <w:sz w:val="20"/>
                <w:szCs w:val="20"/>
              </w:rPr>
            </w:pPr>
            <w:r>
              <w:rPr>
                <w:rFonts w:ascii="Arial" w:hAnsi="Arial" w:cs="Arial"/>
                <w:sz w:val="20"/>
                <w:szCs w:val="20"/>
              </w:rPr>
              <w:t>21</w:t>
            </w:r>
          </w:p>
        </w:tc>
        <w:tc>
          <w:tcPr>
            <w:tcW w:w="993" w:type="dxa"/>
          </w:tcPr>
          <w:p w14:paraId="26223B5E" w14:textId="5F3DDDA8" w:rsidR="00201A59" w:rsidRPr="00FF44CE" w:rsidRDefault="00087326" w:rsidP="002B6035">
            <w:pPr>
              <w:jc w:val="right"/>
              <w:rPr>
                <w:rFonts w:ascii="Arial" w:hAnsi="Arial" w:cs="Arial"/>
                <w:sz w:val="20"/>
                <w:szCs w:val="20"/>
              </w:rPr>
            </w:pPr>
            <w:r>
              <w:rPr>
                <w:rFonts w:ascii="Arial" w:hAnsi="Arial" w:cs="Arial"/>
                <w:sz w:val="20"/>
                <w:szCs w:val="20"/>
              </w:rPr>
              <w:t>354</w:t>
            </w:r>
          </w:p>
        </w:tc>
        <w:tc>
          <w:tcPr>
            <w:tcW w:w="1134" w:type="dxa"/>
          </w:tcPr>
          <w:p w14:paraId="0A4C4B36" w14:textId="3FBADAF7" w:rsidR="00201A59" w:rsidRPr="00FF44CE" w:rsidRDefault="00A24250" w:rsidP="002B6035">
            <w:pPr>
              <w:jc w:val="right"/>
              <w:rPr>
                <w:rFonts w:ascii="Arial" w:hAnsi="Arial" w:cs="Arial"/>
                <w:sz w:val="20"/>
                <w:szCs w:val="20"/>
              </w:rPr>
            </w:pPr>
            <w:r>
              <w:rPr>
                <w:rFonts w:ascii="Arial" w:hAnsi="Arial" w:cs="Arial"/>
                <w:sz w:val="20"/>
                <w:szCs w:val="20"/>
              </w:rPr>
              <w:t>5</w:t>
            </w:r>
            <w:r w:rsidR="00201A59">
              <w:rPr>
                <w:rFonts w:ascii="Arial" w:hAnsi="Arial" w:cs="Arial"/>
                <w:sz w:val="20"/>
                <w:szCs w:val="20"/>
              </w:rPr>
              <w:t>,</w:t>
            </w:r>
            <w:r w:rsidR="005C1C48">
              <w:rPr>
                <w:rFonts w:ascii="Arial" w:hAnsi="Arial" w:cs="Arial"/>
                <w:sz w:val="20"/>
                <w:szCs w:val="20"/>
              </w:rPr>
              <w:t>220</w:t>
            </w:r>
          </w:p>
        </w:tc>
      </w:tr>
      <w:tr w:rsidR="00201A59" w:rsidRPr="00FE5290" w14:paraId="681EC769" w14:textId="77777777" w:rsidTr="002B6035">
        <w:tc>
          <w:tcPr>
            <w:tcW w:w="2972" w:type="dxa"/>
          </w:tcPr>
          <w:p w14:paraId="6511B762" w14:textId="77777777" w:rsidR="00201A59" w:rsidRPr="00FE5290" w:rsidRDefault="00201A59" w:rsidP="002B6035">
            <w:pPr>
              <w:jc w:val="right"/>
              <w:rPr>
                <w:rFonts w:ascii="Arial" w:hAnsi="Arial" w:cs="Arial"/>
                <w:b/>
                <w:sz w:val="20"/>
                <w:szCs w:val="20"/>
              </w:rPr>
            </w:pPr>
            <w:r w:rsidRPr="00FE5290">
              <w:rPr>
                <w:rFonts w:ascii="Arial" w:hAnsi="Arial" w:cs="Arial"/>
                <w:b/>
                <w:sz w:val="20"/>
                <w:szCs w:val="20"/>
              </w:rPr>
              <w:t>In total</w:t>
            </w:r>
          </w:p>
        </w:tc>
        <w:tc>
          <w:tcPr>
            <w:tcW w:w="1132" w:type="dxa"/>
            <w:shd w:val="clear" w:color="auto" w:fill="auto"/>
          </w:tcPr>
          <w:p w14:paraId="73B50902" w14:textId="02CDF92E" w:rsidR="00201A59" w:rsidRPr="00FF44CE" w:rsidRDefault="001E6A92" w:rsidP="002B6035">
            <w:pPr>
              <w:jc w:val="right"/>
              <w:rPr>
                <w:rFonts w:ascii="Arial" w:hAnsi="Arial" w:cs="Arial"/>
                <w:b/>
                <w:sz w:val="20"/>
                <w:szCs w:val="20"/>
              </w:rPr>
            </w:pPr>
            <w:r>
              <w:rPr>
                <w:rFonts w:ascii="Arial" w:hAnsi="Arial" w:cs="Arial"/>
                <w:b/>
                <w:sz w:val="20"/>
                <w:szCs w:val="20"/>
              </w:rPr>
              <w:t>4,968</w:t>
            </w:r>
          </w:p>
        </w:tc>
        <w:tc>
          <w:tcPr>
            <w:tcW w:w="1136" w:type="dxa"/>
            <w:shd w:val="clear" w:color="auto" w:fill="auto"/>
          </w:tcPr>
          <w:p w14:paraId="03278CD6" w14:textId="7FC5527E" w:rsidR="00201A59" w:rsidRPr="00FF44CE" w:rsidRDefault="00D05A95" w:rsidP="002B6035">
            <w:pPr>
              <w:jc w:val="right"/>
              <w:rPr>
                <w:rFonts w:ascii="Arial" w:hAnsi="Arial" w:cs="Arial"/>
                <w:b/>
                <w:sz w:val="20"/>
                <w:szCs w:val="20"/>
              </w:rPr>
            </w:pPr>
            <w:r>
              <w:rPr>
                <w:rFonts w:ascii="Arial" w:hAnsi="Arial" w:cs="Arial"/>
                <w:b/>
                <w:sz w:val="20"/>
                <w:szCs w:val="20"/>
              </w:rPr>
              <w:t>965</w:t>
            </w:r>
          </w:p>
        </w:tc>
        <w:tc>
          <w:tcPr>
            <w:tcW w:w="1559" w:type="dxa"/>
            <w:shd w:val="clear" w:color="auto" w:fill="auto"/>
          </w:tcPr>
          <w:p w14:paraId="1F52B201" w14:textId="5082EF9C" w:rsidR="00201A59" w:rsidRPr="00FF44CE" w:rsidRDefault="00201A59" w:rsidP="002B6035">
            <w:pPr>
              <w:jc w:val="right"/>
              <w:rPr>
                <w:rFonts w:ascii="Arial" w:hAnsi="Arial" w:cs="Arial"/>
                <w:b/>
                <w:sz w:val="20"/>
                <w:szCs w:val="20"/>
              </w:rPr>
            </w:pPr>
            <w:r w:rsidRPr="00FF44CE">
              <w:rPr>
                <w:rFonts w:ascii="Arial" w:hAnsi="Arial" w:cs="Arial"/>
                <w:b/>
                <w:sz w:val="20"/>
                <w:szCs w:val="20"/>
              </w:rPr>
              <w:t>5</w:t>
            </w:r>
            <w:r w:rsidR="008B579B">
              <w:rPr>
                <w:rFonts w:ascii="Arial" w:hAnsi="Arial" w:cs="Arial"/>
                <w:b/>
                <w:sz w:val="20"/>
                <w:szCs w:val="20"/>
              </w:rPr>
              <w:t>4</w:t>
            </w:r>
          </w:p>
        </w:tc>
        <w:tc>
          <w:tcPr>
            <w:tcW w:w="993" w:type="dxa"/>
            <w:shd w:val="clear" w:color="auto" w:fill="auto"/>
          </w:tcPr>
          <w:p w14:paraId="4283960D" w14:textId="4402EDDE" w:rsidR="00201A59" w:rsidRPr="00FF44CE" w:rsidRDefault="008B579B" w:rsidP="002B6035">
            <w:pPr>
              <w:jc w:val="right"/>
              <w:rPr>
                <w:rFonts w:ascii="Arial" w:hAnsi="Arial" w:cs="Arial"/>
                <w:b/>
                <w:sz w:val="20"/>
                <w:szCs w:val="20"/>
              </w:rPr>
            </w:pPr>
            <w:r>
              <w:rPr>
                <w:rFonts w:ascii="Arial" w:hAnsi="Arial" w:cs="Arial"/>
                <w:b/>
                <w:sz w:val="20"/>
                <w:szCs w:val="20"/>
              </w:rPr>
              <w:t>42</w:t>
            </w:r>
            <w:r w:rsidR="00201A59" w:rsidRPr="00FF44CE">
              <w:rPr>
                <w:rFonts w:ascii="Arial" w:hAnsi="Arial" w:cs="Arial"/>
                <w:b/>
                <w:sz w:val="20"/>
                <w:szCs w:val="20"/>
              </w:rPr>
              <w:t>3</w:t>
            </w:r>
          </w:p>
        </w:tc>
        <w:tc>
          <w:tcPr>
            <w:tcW w:w="1134" w:type="dxa"/>
            <w:shd w:val="clear" w:color="auto" w:fill="auto"/>
          </w:tcPr>
          <w:p w14:paraId="4D20385B" w14:textId="7463061A" w:rsidR="00201A59" w:rsidRPr="00FF44CE" w:rsidRDefault="00EA4A0C" w:rsidP="002B6035">
            <w:pPr>
              <w:jc w:val="right"/>
              <w:rPr>
                <w:rFonts w:ascii="Arial" w:hAnsi="Arial" w:cs="Arial"/>
                <w:b/>
                <w:sz w:val="20"/>
                <w:szCs w:val="20"/>
              </w:rPr>
            </w:pPr>
            <w:r>
              <w:rPr>
                <w:rFonts w:ascii="Arial" w:hAnsi="Arial" w:cs="Arial"/>
                <w:b/>
                <w:sz w:val="20"/>
                <w:szCs w:val="20"/>
              </w:rPr>
              <w:t>6</w:t>
            </w:r>
            <w:r w:rsidR="00201A59" w:rsidRPr="00FF44CE">
              <w:rPr>
                <w:rFonts w:ascii="Arial" w:hAnsi="Arial" w:cs="Arial"/>
                <w:b/>
                <w:sz w:val="20"/>
                <w:szCs w:val="20"/>
              </w:rPr>
              <w:t>,</w:t>
            </w:r>
            <w:r>
              <w:rPr>
                <w:rFonts w:ascii="Arial" w:hAnsi="Arial" w:cs="Arial"/>
                <w:b/>
                <w:sz w:val="20"/>
                <w:szCs w:val="20"/>
              </w:rPr>
              <w:t>41</w:t>
            </w:r>
            <w:r w:rsidR="00201A59" w:rsidRPr="00FF44CE">
              <w:rPr>
                <w:rFonts w:ascii="Arial" w:hAnsi="Arial" w:cs="Arial"/>
                <w:b/>
                <w:sz w:val="20"/>
                <w:szCs w:val="20"/>
              </w:rPr>
              <w:t>0</w:t>
            </w:r>
          </w:p>
        </w:tc>
      </w:tr>
    </w:tbl>
    <w:p w14:paraId="7FD4E480" w14:textId="5BE0D645" w:rsidR="00201A59" w:rsidRPr="00F97874" w:rsidRDefault="00201A59" w:rsidP="00201A59">
      <w:pPr>
        <w:ind w:left="567"/>
        <w:rPr>
          <w:rFonts w:ascii="Arial" w:hAnsi="Arial" w:cs="Arial"/>
          <w:i/>
          <w:sz w:val="18"/>
          <w:szCs w:val="18"/>
        </w:rPr>
      </w:pPr>
      <w:r w:rsidRPr="00D96419">
        <w:rPr>
          <w:rFonts w:ascii="Arial" w:hAnsi="Arial" w:cs="Arial"/>
          <w:sz w:val="18"/>
          <w:szCs w:val="18"/>
        </w:rPr>
        <w:t>)</w:t>
      </w:r>
      <w:r>
        <w:rPr>
          <w:rFonts w:ascii="Arial" w:hAnsi="Arial" w:cs="Arial"/>
          <w:sz w:val="18"/>
          <w:szCs w:val="18"/>
          <w:vertAlign w:val="superscript"/>
        </w:rPr>
        <w:t>1</w:t>
      </w:r>
      <w:r w:rsidRPr="00D96419">
        <w:rPr>
          <w:rFonts w:ascii="Arial" w:hAnsi="Arial" w:cs="Arial"/>
          <w:sz w:val="18"/>
          <w:szCs w:val="18"/>
        </w:rPr>
        <w:t xml:space="preserve">   </w:t>
      </w:r>
      <w:r w:rsidRPr="00F97874">
        <w:rPr>
          <w:rFonts w:ascii="Arial" w:hAnsi="Arial" w:cs="Arial"/>
          <w:i/>
          <w:sz w:val="18"/>
          <w:szCs w:val="18"/>
        </w:rPr>
        <w:t>Number of persons as per 31 December 20</w:t>
      </w:r>
      <w:r w:rsidR="001A2AD5">
        <w:rPr>
          <w:rFonts w:ascii="Arial" w:hAnsi="Arial" w:cs="Arial"/>
          <w:i/>
          <w:sz w:val="18"/>
          <w:szCs w:val="18"/>
        </w:rPr>
        <w:t>21</w:t>
      </w:r>
      <w:r w:rsidRPr="00F97874">
        <w:rPr>
          <w:rFonts w:ascii="Arial" w:hAnsi="Arial" w:cs="Arial"/>
          <w:i/>
          <w:sz w:val="18"/>
          <w:szCs w:val="18"/>
        </w:rPr>
        <w:t xml:space="preserve"> (staff changes during 20</w:t>
      </w:r>
      <w:r w:rsidR="001A2AD5">
        <w:rPr>
          <w:rFonts w:ascii="Arial" w:hAnsi="Arial" w:cs="Arial"/>
          <w:i/>
          <w:sz w:val="18"/>
          <w:szCs w:val="18"/>
        </w:rPr>
        <w:t>21</w:t>
      </w:r>
      <w:r w:rsidRPr="00F97874">
        <w:rPr>
          <w:rFonts w:ascii="Arial" w:hAnsi="Arial" w:cs="Arial"/>
          <w:i/>
          <w:sz w:val="18"/>
          <w:szCs w:val="18"/>
        </w:rPr>
        <w:t xml:space="preserve"> are included pro rata).</w:t>
      </w:r>
    </w:p>
    <w:p w14:paraId="254F0F24" w14:textId="77777777" w:rsidR="00201A59" w:rsidRDefault="00201A59" w:rsidP="00201A59">
      <w:pPr>
        <w:ind w:left="851" w:hanging="284"/>
        <w:rPr>
          <w:rFonts w:ascii="Arial" w:hAnsi="Arial" w:cs="Arial"/>
          <w:iCs/>
          <w:sz w:val="18"/>
          <w:szCs w:val="18"/>
        </w:rPr>
      </w:pPr>
      <w:r w:rsidRPr="00D96419">
        <w:rPr>
          <w:rFonts w:ascii="Arial" w:hAnsi="Arial" w:cs="Arial"/>
          <w:sz w:val="18"/>
          <w:szCs w:val="18"/>
        </w:rPr>
        <w:t>)</w:t>
      </w:r>
      <w:r w:rsidRPr="00D96419">
        <w:rPr>
          <w:rFonts w:ascii="Arial" w:hAnsi="Arial" w:cs="Arial"/>
          <w:sz w:val="18"/>
          <w:szCs w:val="18"/>
          <w:vertAlign w:val="superscript"/>
        </w:rPr>
        <w:t>2</w:t>
      </w:r>
      <w:r w:rsidRPr="00D96419">
        <w:rPr>
          <w:rFonts w:ascii="Arial" w:hAnsi="Arial" w:cs="Arial"/>
          <w:sz w:val="18"/>
          <w:szCs w:val="18"/>
        </w:rPr>
        <w:t xml:space="preserve">   </w:t>
      </w:r>
      <w:r w:rsidRPr="00F97874">
        <w:rPr>
          <w:rFonts w:ascii="Arial" w:hAnsi="Arial" w:cs="Arial"/>
          <w:i/>
          <w:sz w:val="18"/>
          <w:szCs w:val="18"/>
        </w:rPr>
        <w:t>This relates to fixed reimbursements of expenses, contributions to a company car/ mobility allowance, compensations of interest on mortgages (only applicable for employees already in service of FMO on 31 December 2016).</w:t>
      </w:r>
    </w:p>
    <w:p w14:paraId="753952E3" w14:textId="36C6DEA5" w:rsidR="00180314" w:rsidRPr="00FE5290" w:rsidRDefault="00536703">
      <w:pPr>
        <w:contextualSpacing/>
        <w:rPr>
          <w:rFonts w:ascii="Arial" w:hAnsi="Arial" w:cs="Arial"/>
          <w:sz w:val="20"/>
          <w:szCs w:val="20"/>
        </w:rPr>
      </w:pPr>
      <w:r w:rsidRPr="00FE5290">
        <w:rPr>
          <w:rFonts w:ascii="Arial" w:hAnsi="Arial" w:cs="Arial"/>
          <w:sz w:val="20"/>
          <w:szCs w:val="20"/>
          <w:lang w:val="en-US"/>
        </w:rPr>
        <w:t xml:space="preserve">Members of the Identified Staff are not eligible to receive any variable remuneration (bonuses). </w:t>
      </w:r>
    </w:p>
    <w:p w14:paraId="0641F7D7" w14:textId="77B11E80" w:rsidR="00FB59CE" w:rsidRPr="00FE5290" w:rsidRDefault="00CA2C9D">
      <w:pPr>
        <w:contextualSpacing/>
        <w:rPr>
          <w:rFonts w:ascii="Arial" w:hAnsi="Arial" w:cs="Arial"/>
          <w:sz w:val="20"/>
          <w:szCs w:val="20"/>
        </w:rPr>
      </w:pPr>
      <w:r w:rsidRPr="00FE5290">
        <w:rPr>
          <w:rFonts w:ascii="Arial" w:hAnsi="Arial" w:cs="Arial"/>
          <w:sz w:val="20"/>
          <w:szCs w:val="20"/>
        </w:rPr>
        <w:t>M</w:t>
      </w:r>
      <w:r w:rsidR="00FB59CE" w:rsidRPr="00FE5290">
        <w:rPr>
          <w:rFonts w:ascii="Arial" w:hAnsi="Arial" w:cs="Arial"/>
          <w:sz w:val="20"/>
          <w:szCs w:val="20"/>
        </w:rPr>
        <w:t>embers of the Supervisory Board</w:t>
      </w:r>
      <w:r w:rsidRPr="00FE5290">
        <w:rPr>
          <w:rFonts w:ascii="Arial" w:hAnsi="Arial" w:cs="Arial"/>
          <w:sz w:val="20"/>
          <w:szCs w:val="20"/>
        </w:rPr>
        <w:t xml:space="preserve"> and the Management Board</w:t>
      </w:r>
      <w:r w:rsidR="00FB59CE" w:rsidRPr="00FE5290">
        <w:rPr>
          <w:rFonts w:ascii="Arial" w:hAnsi="Arial" w:cs="Arial"/>
          <w:sz w:val="20"/>
          <w:szCs w:val="20"/>
        </w:rPr>
        <w:t xml:space="preserve"> have no shares, options or loans related to the company. </w:t>
      </w:r>
    </w:p>
    <w:sectPr w:rsidR="00FB59CE" w:rsidRPr="00FE5290" w:rsidSect="00D65831">
      <w:headerReference w:type="default" r:id="rId12"/>
      <w:footerReference w:type="default" r:id="rId13"/>
      <w:headerReference w:type="first" r:id="rId14"/>
      <w:footerReference w:type="first" r:id="rId15"/>
      <w:pgSz w:w="11906" w:h="16838"/>
      <w:pgMar w:top="1843" w:right="1440" w:bottom="1560" w:left="1440" w:header="426"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1C01" w14:textId="77777777" w:rsidR="00ED697D" w:rsidRDefault="00ED697D" w:rsidP="00851B15">
      <w:pPr>
        <w:spacing w:after="0" w:line="240" w:lineRule="auto"/>
      </w:pPr>
      <w:r>
        <w:separator/>
      </w:r>
    </w:p>
  </w:endnote>
  <w:endnote w:type="continuationSeparator" w:id="0">
    <w:p w14:paraId="38B0C1F3" w14:textId="77777777" w:rsidR="00ED697D" w:rsidRDefault="00ED697D" w:rsidP="008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PT Book">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53843"/>
      <w:docPartObj>
        <w:docPartGallery w:val="Page Numbers (Bottom of Page)"/>
        <w:docPartUnique/>
      </w:docPartObj>
    </w:sdtPr>
    <w:sdtEndPr>
      <w:rPr>
        <w:noProof/>
      </w:rPr>
    </w:sdtEndPr>
    <w:sdtContent>
      <w:p w14:paraId="3984390F" w14:textId="5F5DF894" w:rsidR="00FA065C" w:rsidRDefault="00FA065C">
        <w:pPr>
          <w:pStyle w:val="Footer"/>
          <w:jc w:val="right"/>
        </w:pPr>
        <w:r>
          <w:fldChar w:fldCharType="begin"/>
        </w:r>
        <w:r>
          <w:instrText xml:space="preserve"> PAGE   \* MERGEFORMAT </w:instrText>
        </w:r>
        <w:r>
          <w:fldChar w:fldCharType="separate"/>
        </w:r>
        <w:r w:rsidR="00315BA6">
          <w:rPr>
            <w:noProof/>
          </w:rPr>
          <w:t>1</w:t>
        </w:r>
        <w:r>
          <w:rPr>
            <w:noProof/>
          </w:rPr>
          <w:fldChar w:fldCharType="end"/>
        </w:r>
      </w:p>
    </w:sdtContent>
  </w:sdt>
  <w:p w14:paraId="208DC825" w14:textId="77777777" w:rsidR="00FA065C" w:rsidRDefault="00FA0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830483"/>
      <w:docPartObj>
        <w:docPartGallery w:val="Page Numbers (Bottom of Page)"/>
        <w:docPartUnique/>
      </w:docPartObj>
    </w:sdtPr>
    <w:sdtEndPr>
      <w:rPr>
        <w:noProof/>
      </w:rPr>
    </w:sdtEndPr>
    <w:sdtContent>
      <w:p w14:paraId="4A72B10C" w14:textId="498E76AD" w:rsidR="00625B7F" w:rsidRDefault="00625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7B067" w14:textId="77777777" w:rsidR="00625B7F" w:rsidRDefault="0062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1CD7" w14:textId="77777777" w:rsidR="00ED697D" w:rsidRDefault="00ED697D" w:rsidP="00851B15">
      <w:pPr>
        <w:spacing w:after="0" w:line="240" w:lineRule="auto"/>
      </w:pPr>
      <w:r>
        <w:separator/>
      </w:r>
    </w:p>
  </w:footnote>
  <w:footnote w:type="continuationSeparator" w:id="0">
    <w:p w14:paraId="01BF409A" w14:textId="77777777" w:rsidR="00ED697D" w:rsidRDefault="00ED697D" w:rsidP="00851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F542" w14:textId="77777777" w:rsidR="00D36B49" w:rsidRDefault="00D36B49">
    <w:pPr>
      <w:pStyle w:val="Header"/>
      <w:rPr>
        <w:rFonts w:ascii="Arial" w:hAnsi="Arial" w:cs="Arial"/>
        <w:b/>
        <w:sz w:val="20"/>
        <w:szCs w:val="20"/>
      </w:rPr>
    </w:pPr>
  </w:p>
  <w:p w14:paraId="0DEDD381" w14:textId="77777777" w:rsidR="00D36B49" w:rsidRDefault="00D36B49">
    <w:pPr>
      <w:pStyle w:val="Header"/>
      <w:rPr>
        <w:rFonts w:ascii="Arial" w:hAnsi="Arial" w:cs="Arial"/>
        <w:b/>
        <w:sz w:val="20"/>
        <w:szCs w:val="20"/>
      </w:rPr>
    </w:pPr>
  </w:p>
  <w:p w14:paraId="0A618264" w14:textId="77777777" w:rsidR="00CC3FAA" w:rsidRDefault="00CC3F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6202" w14:textId="77437A2D" w:rsidR="00D36B49" w:rsidRDefault="00B80F4C">
    <w:pPr>
      <w:pStyle w:val="Header"/>
    </w:pPr>
    <w:r>
      <w:rPr>
        <w:noProof/>
        <w:lang w:eastAsia="en-GB"/>
      </w:rPr>
      <w:drawing>
        <wp:anchor distT="0" distB="0" distL="114300" distR="114300" simplePos="0" relativeHeight="251659264" behindDoc="0" locked="0" layoutInCell="1" allowOverlap="1" wp14:anchorId="6A743524" wp14:editId="08D310D4">
          <wp:simplePos x="0" y="0"/>
          <wp:positionH relativeFrom="margin">
            <wp:align>left</wp:align>
          </wp:positionH>
          <wp:positionV relativeFrom="paragraph">
            <wp:posOffset>171451</wp:posOffset>
          </wp:positionV>
          <wp:extent cx="853440" cy="647646"/>
          <wp:effectExtent l="0" t="0" r="3810" b="63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647646"/>
                  </a:xfrm>
                  <a:prstGeom prst="rect">
                    <a:avLst/>
                  </a:prstGeom>
                </pic:spPr>
              </pic:pic>
            </a:graphicData>
          </a:graphic>
          <wp14:sizeRelH relativeFrom="page">
            <wp14:pctWidth>0</wp14:pctWidth>
          </wp14:sizeRelH>
          <wp14:sizeRelV relativeFrom="page">
            <wp14:pctHeight>0</wp14:pctHeight>
          </wp14:sizeRelV>
        </wp:anchor>
      </w:drawing>
    </w:r>
  </w:p>
  <w:p w14:paraId="138F8AE1" w14:textId="6B6E085B" w:rsidR="00D36B49" w:rsidRPr="00D36B49" w:rsidRDefault="00B714E8" w:rsidP="00D36B49">
    <w:pPr>
      <w:pStyle w:val="Header"/>
      <w:jc w:val="right"/>
      <w:rPr>
        <w:rFonts w:ascii="Arial" w:hAnsi="Arial" w:cs="Arial"/>
        <w:b/>
        <w:bCs/>
        <w:sz w:val="20"/>
        <w:szCs w:val="20"/>
      </w:rPr>
    </w:pPr>
    <w:r>
      <w:rPr>
        <w:rFonts w:ascii="Arial" w:hAnsi="Arial" w:cs="Arial"/>
        <w:b/>
        <w:bCs/>
        <w:sz w:val="20"/>
        <w:szCs w:val="20"/>
      </w:rPr>
      <w:t xml:space="preserve">16 March </w:t>
    </w:r>
    <w:r w:rsidR="00D36B49" w:rsidRPr="00D36B49">
      <w:rPr>
        <w:rFonts w:ascii="Arial" w:hAnsi="Arial" w:cs="Arial"/>
        <w:b/>
        <w:bCs/>
        <w:sz w:val="20"/>
        <w:szCs w:val="20"/>
      </w:rPr>
      <w:t>202</w:t>
    </w:r>
    <w:r w:rsidR="00D32E66">
      <w:rPr>
        <w:rFonts w:ascii="Arial" w:hAnsi="Arial" w:cs="Arial"/>
        <w:b/>
        <w:b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935"/>
    <w:multiLevelType w:val="hybridMultilevel"/>
    <w:tmpl w:val="E1F4FE06"/>
    <w:lvl w:ilvl="0" w:tplc="82AED36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840D6"/>
    <w:multiLevelType w:val="hybridMultilevel"/>
    <w:tmpl w:val="178A824E"/>
    <w:lvl w:ilvl="0" w:tplc="82AED36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44A5A"/>
    <w:multiLevelType w:val="hybridMultilevel"/>
    <w:tmpl w:val="BFACA810"/>
    <w:lvl w:ilvl="0" w:tplc="E95AB3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25565"/>
    <w:multiLevelType w:val="hybridMultilevel"/>
    <w:tmpl w:val="905A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5490F"/>
    <w:multiLevelType w:val="hybridMultilevel"/>
    <w:tmpl w:val="60BA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5104D"/>
    <w:multiLevelType w:val="hybridMultilevel"/>
    <w:tmpl w:val="11E4B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458399">
    <w:abstractNumId w:val="0"/>
  </w:num>
  <w:num w:numId="2" w16cid:durableId="1082799898">
    <w:abstractNumId w:val="4"/>
  </w:num>
  <w:num w:numId="3" w16cid:durableId="899369210">
    <w:abstractNumId w:val="2"/>
  </w:num>
  <w:num w:numId="4" w16cid:durableId="1187672320">
    <w:abstractNumId w:val="1"/>
  </w:num>
  <w:num w:numId="5" w16cid:durableId="1686470268">
    <w:abstractNumId w:val="3"/>
  </w:num>
  <w:num w:numId="6" w16cid:durableId="243147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5D"/>
    <w:rsid w:val="00000F39"/>
    <w:rsid w:val="00007E95"/>
    <w:rsid w:val="00011315"/>
    <w:rsid w:val="00015F24"/>
    <w:rsid w:val="00025300"/>
    <w:rsid w:val="00027AE1"/>
    <w:rsid w:val="00034D4B"/>
    <w:rsid w:val="00037AC4"/>
    <w:rsid w:val="000441C0"/>
    <w:rsid w:val="00055C1E"/>
    <w:rsid w:val="00060597"/>
    <w:rsid w:val="00060BA5"/>
    <w:rsid w:val="0007468E"/>
    <w:rsid w:val="0007539E"/>
    <w:rsid w:val="00087326"/>
    <w:rsid w:val="00092ECF"/>
    <w:rsid w:val="000A6A4C"/>
    <w:rsid w:val="000A7A94"/>
    <w:rsid w:val="000B4619"/>
    <w:rsid w:val="000B497F"/>
    <w:rsid w:val="000B56C2"/>
    <w:rsid w:val="000B7712"/>
    <w:rsid w:val="000D3684"/>
    <w:rsid w:val="000D4285"/>
    <w:rsid w:val="000E2AD1"/>
    <w:rsid w:val="000E4401"/>
    <w:rsid w:val="000E5335"/>
    <w:rsid w:val="000E5C6A"/>
    <w:rsid w:val="000F4CD3"/>
    <w:rsid w:val="00101E4F"/>
    <w:rsid w:val="001056D2"/>
    <w:rsid w:val="00105DBC"/>
    <w:rsid w:val="00110276"/>
    <w:rsid w:val="00120B82"/>
    <w:rsid w:val="001246C1"/>
    <w:rsid w:val="0014692D"/>
    <w:rsid w:val="0015579F"/>
    <w:rsid w:val="00160E62"/>
    <w:rsid w:val="0016139F"/>
    <w:rsid w:val="00163DAA"/>
    <w:rsid w:val="00177597"/>
    <w:rsid w:val="00180314"/>
    <w:rsid w:val="00183053"/>
    <w:rsid w:val="00193226"/>
    <w:rsid w:val="00194083"/>
    <w:rsid w:val="00194092"/>
    <w:rsid w:val="00196A6F"/>
    <w:rsid w:val="001A2AD5"/>
    <w:rsid w:val="001C6531"/>
    <w:rsid w:val="001D0DC0"/>
    <w:rsid w:val="001D29E6"/>
    <w:rsid w:val="001E6A92"/>
    <w:rsid w:val="001F340D"/>
    <w:rsid w:val="001F75DC"/>
    <w:rsid w:val="00200275"/>
    <w:rsid w:val="00201A59"/>
    <w:rsid w:val="0021297D"/>
    <w:rsid w:val="00244736"/>
    <w:rsid w:val="00247645"/>
    <w:rsid w:val="002568F5"/>
    <w:rsid w:val="002574BB"/>
    <w:rsid w:val="00264B17"/>
    <w:rsid w:val="00275F4D"/>
    <w:rsid w:val="00280024"/>
    <w:rsid w:val="00280782"/>
    <w:rsid w:val="002819A9"/>
    <w:rsid w:val="00284B7E"/>
    <w:rsid w:val="00291022"/>
    <w:rsid w:val="002A3F81"/>
    <w:rsid w:val="002D3764"/>
    <w:rsid w:val="002D5979"/>
    <w:rsid w:val="002F178B"/>
    <w:rsid w:val="002F2E83"/>
    <w:rsid w:val="002F3DBF"/>
    <w:rsid w:val="002F6980"/>
    <w:rsid w:val="00302264"/>
    <w:rsid w:val="00315BA6"/>
    <w:rsid w:val="003225B2"/>
    <w:rsid w:val="003328F3"/>
    <w:rsid w:val="00333C73"/>
    <w:rsid w:val="0034018A"/>
    <w:rsid w:val="0035070D"/>
    <w:rsid w:val="00354117"/>
    <w:rsid w:val="003542C6"/>
    <w:rsid w:val="003627E1"/>
    <w:rsid w:val="00376E14"/>
    <w:rsid w:val="003835AB"/>
    <w:rsid w:val="00385AEF"/>
    <w:rsid w:val="0039595D"/>
    <w:rsid w:val="003A17A0"/>
    <w:rsid w:val="003A1915"/>
    <w:rsid w:val="003B2023"/>
    <w:rsid w:val="003B44D7"/>
    <w:rsid w:val="003B74DF"/>
    <w:rsid w:val="003B7BA7"/>
    <w:rsid w:val="003C0998"/>
    <w:rsid w:val="003C5A6A"/>
    <w:rsid w:val="003C6691"/>
    <w:rsid w:val="003D51DB"/>
    <w:rsid w:val="003E3CE0"/>
    <w:rsid w:val="003E5B91"/>
    <w:rsid w:val="003E63D1"/>
    <w:rsid w:val="003E6648"/>
    <w:rsid w:val="003F4600"/>
    <w:rsid w:val="0040174E"/>
    <w:rsid w:val="00413D77"/>
    <w:rsid w:val="004218AB"/>
    <w:rsid w:val="00422F1E"/>
    <w:rsid w:val="0043636E"/>
    <w:rsid w:val="00444B8B"/>
    <w:rsid w:val="00462D93"/>
    <w:rsid w:val="00482C27"/>
    <w:rsid w:val="004874AA"/>
    <w:rsid w:val="00492178"/>
    <w:rsid w:val="004A23A9"/>
    <w:rsid w:val="004A790E"/>
    <w:rsid w:val="004B6CC6"/>
    <w:rsid w:val="004C223E"/>
    <w:rsid w:val="004E70A5"/>
    <w:rsid w:val="004E710C"/>
    <w:rsid w:val="004F550F"/>
    <w:rsid w:val="0050406B"/>
    <w:rsid w:val="00536703"/>
    <w:rsid w:val="00541AC6"/>
    <w:rsid w:val="00543243"/>
    <w:rsid w:val="00556689"/>
    <w:rsid w:val="005605BB"/>
    <w:rsid w:val="00563C67"/>
    <w:rsid w:val="0059002A"/>
    <w:rsid w:val="005955AA"/>
    <w:rsid w:val="005A5D2E"/>
    <w:rsid w:val="005B69C1"/>
    <w:rsid w:val="005C1C48"/>
    <w:rsid w:val="005C4AB2"/>
    <w:rsid w:val="005E05BE"/>
    <w:rsid w:val="005E573A"/>
    <w:rsid w:val="005F65F7"/>
    <w:rsid w:val="005F7451"/>
    <w:rsid w:val="00603AC1"/>
    <w:rsid w:val="0060474D"/>
    <w:rsid w:val="00606CA7"/>
    <w:rsid w:val="00614867"/>
    <w:rsid w:val="006178CB"/>
    <w:rsid w:val="00621143"/>
    <w:rsid w:val="00625B7F"/>
    <w:rsid w:val="00634D4A"/>
    <w:rsid w:val="006365E3"/>
    <w:rsid w:val="00645DB7"/>
    <w:rsid w:val="00646F2A"/>
    <w:rsid w:val="0066062B"/>
    <w:rsid w:val="006617F0"/>
    <w:rsid w:val="00670667"/>
    <w:rsid w:val="00673626"/>
    <w:rsid w:val="00681426"/>
    <w:rsid w:val="006814D4"/>
    <w:rsid w:val="00683A6C"/>
    <w:rsid w:val="006967C8"/>
    <w:rsid w:val="006A10C5"/>
    <w:rsid w:val="006A116C"/>
    <w:rsid w:val="006A11DF"/>
    <w:rsid w:val="006A6DD6"/>
    <w:rsid w:val="006B3995"/>
    <w:rsid w:val="006B7567"/>
    <w:rsid w:val="006C0E39"/>
    <w:rsid w:val="006C4FA7"/>
    <w:rsid w:val="006C7CFD"/>
    <w:rsid w:val="006D4A0A"/>
    <w:rsid w:val="006E06BE"/>
    <w:rsid w:val="006E651D"/>
    <w:rsid w:val="006F7E4C"/>
    <w:rsid w:val="00713FCB"/>
    <w:rsid w:val="0071486F"/>
    <w:rsid w:val="007168BD"/>
    <w:rsid w:val="007208BD"/>
    <w:rsid w:val="00732765"/>
    <w:rsid w:val="00737E83"/>
    <w:rsid w:val="007476E9"/>
    <w:rsid w:val="007519BC"/>
    <w:rsid w:val="00755F2C"/>
    <w:rsid w:val="00760D50"/>
    <w:rsid w:val="007634FF"/>
    <w:rsid w:val="0076361A"/>
    <w:rsid w:val="00763672"/>
    <w:rsid w:val="00776C6B"/>
    <w:rsid w:val="007775A7"/>
    <w:rsid w:val="00782F90"/>
    <w:rsid w:val="00791940"/>
    <w:rsid w:val="007922F8"/>
    <w:rsid w:val="00794FC4"/>
    <w:rsid w:val="00796C6A"/>
    <w:rsid w:val="007A5D34"/>
    <w:rsid w:val="007B0AA2"/>
    <w:rsid w:val="007B11AC"/>
    <w:rsid w:val="007C6417"/>
    <w:rsid w:val="007C702B"/>
    <w:rsid w:val="007D2442"/>
    <w:rsid w:val="007D4B4E"/>
    <w:rsid w:val="007F11E4"/>
    <w:rsid w:val="007F3130"/>
    <w:rsid w:val="00801333"/>
    <w:rsid w:val="00810FA9"/>
    <w:rsid w:val="008155D2"/>
    <w:rsid w:val="00821EA1"/>
    <w:rsid w:val="008235D5"/>
    <w:rsid w:val="008256B8"/>
    <w:rsid w:val="00825A4B"/>
    <w:rsid w:val="008278C0"/>
    <w:rsid w:val="00833891"/>
    <w:rsid w:val="00840A42"/>
    <w:rsid w:val="008439FF"/>
    <w:rsid w:val="008452BF"/>
    <w:rsid w:val="00851B15"/>
    <w:rsid w:val="00853E62"/>
    <w:rsid w:val="00863ED2"/>
    <w:rsid w:val="008716BB"/>
    <w:rsid w:val="008722AF"/>
    <w:rsid w:val="008826D6"/>
    <w:rsid w:val="008843D7"/>
    <w:rsid w:val="00887885"/>
    <w:rsid w:val="00887B12"/>
    <w:rsid w:val="00890238"/>
    <w:rsid w:val="008A1E00"/>
    <w:rsid w:val="008B579B"/>
    <w:rsid w:val="008B7CDD"/>
    <w:rsid w:val="008D3FC7"/>
    <w:rsid w:val="008E3DEC"/>
    <w:rsid w:val="008E4329"/>
    <w:rsid w:val="008E6F7B"/>
    <w:rsid w:val="008F439D"/>
    <w:rsid w:val="00901406"/>
    <w:rsid w:val="00904DEE"/>
    <w:rsid w:val="009050FF"/>
    <w:rsid w:val="009063F3"/>
    <w:rsid w:val="0091447F"/>
    <w:rsid w:val="00921E65"/>
    <w:rsid w:val="00927D04"/>
    <w:rsid w:val="009400EC"/>
    <w:rsid w:val="00941BBF"/>
    <w:rsid w:val="00942A1C"/>
    <w:rsid w:val="00943591"/>
    <w:rsid w:val="00970C80"/>
    <w:rsid w:val="009718AD"/>
    <w:rsid w:val="00975633"/>
    <w:rsid w:val="0098625F"/>
    <w:rsid w:val="00991C4F"/>
    <w:rsid w:val="00994985"/>
    <w:rsid w:val="009A514A"/>
    <w:rsid w:val="009C2288"/>
    <w:rsid w:val="009D0F05"/>
    <w:rsid w:val="009D2EA7"/>
    <w:rsid w:val="009D5E83"/>
    <w:rsid w:val="009D77C2"/>
    <w:rsid w:val="009E04EF"/>
    <w:rsid w:val="009F3529"/>
    <w:rsid w:val="00A00E58"/>
    <w:rsid w:val="00A05CF7"/>
    <w:rsid w:val="00A07BB3"/>
    <w:rsid w:val="00A135BF"/>
    <w:rsid w:val="00A14BEB"/>
    <w:rsid w:val="00A161D9"/>
    <w:rsid w:val="00A24250"/>
    <w:rsid w:val="00A259B5"/>
    <w:rsid w:val="00A26123"/>
    <w:rsid w:val="00A26F33"/>
    <w:rsid w:val="00A27AEA"/>
    <w:rsid w:val="00A314AF"/>
    <w:rsid w:val="00A36BE2"/>
    <w:rsid w:val="00A44B18"/>
    <w:rsid w:val="00A479B7"/>
    <w:rsid w:val="00A5119F"/>
    <w:rsid w:val="00A52C22"/>
    <w:rsid w:val="00A61597"/>
    <w:rsid w:val="00A64A6C"/>
    <w:rsid w:val="00A7152E"/>
    <w:rsid w:val="00A729FC"/>
    <w:rsid w:val="00A835DB"/>
    <w:rsid w:val="00A933F5"/>
    <w:rsid w:val="00A951EB"/>
    <w:rsid w:val="00A971B3"/>
    <w:rsid w:val="00AA3D9E"/>
    <w:rsid w:val="00AA5017"/>
    <w:rsid w:val="00AA5B70"/>
    <w:rsid w:val="00AB0286"/>
    <w:rsid w:val="00AB68BF"/>
    <w:rsid w:val="00AD17D6"/>
    <w:rsid w:val="00AD594E"/>
    <w:rsid w:val="00AD6CB9"/>
    <w:rsid w:val="00AE7236"/>
    <w:rsid w:val="00AE75A7"/>
    <w:rsid w:val="00AF4C73"/>
    <w:rsid w:val="00AF741B"/>
    <w:rsid w:val="00AF74A5"/>
    <w:rsid w:val="00B23352"/>
    <w:rsid w:val="00B238F6"/>
    <w:rsid w:val="00B27F8E"/>
    <w:rsid w:val="00B307BB"/>
    <w:rsid w:val="00B34456"/>
    <w:rsid w:val="00B43111"/>
    <w:rsid w:val="00B467C8"/>
    <w:rsid w:val="00B47300"/>
    <w:rsid w:val="00B64977"/>
    <w:rsid w:val="00B714E8"/>
    <w:rsid w:val="00B7352D"/>
    <w:rsid w:val="00B80F4C"/>
    <w:rsid w:val="00B83EBF"/>
    <w:rsid w:val="00B93409"/>
    <w:rsid w:val="00B93E6F"/>
    <w:rsid w:val="00B948A9"/>
    <w:rsid w:val="00BA52D1"/>
    <w:rsid w:val="00BC427C"/>
    <w:rsid w:val="00BD3247"/>
    <w:rsid w:val="00BD4633"/>
    <w:rsid w:val="00BE2D7B"/>
    <w:rsid w:val="00BE3404"/>
    <w:rsid w:val="00BE6C4F"/>
    <w:rsid w:val="00C074C9"/>
    <w:rsid w:val="00C14F42"/>
    <w:rsid w:val="00C15EFA"/>
    <w:rsid w:val="00C20BDF"/>
    <w:rsid w:val="00C2362F"/>
    <w:rsid w:val="00C27D78"/>
    <w:rsid w:val="00C331A4"/>
    <w:rsid w:val="00C364CB"/>
    <w:rsid w:val="00C36FE5"/>
    <w:rsid w:val="00C435A7"/>
    <w:rsid w:val="00C4422D"/>
    <w:rsid w:val="00C50DCC"/>
    <w:rsid w:val="00C55796"/>
    <w:rsid w:val="00C57006"/>
    <w:rsid w:val="00C7143F"/>
    <w:rsid w:val="00C7174E"/>
    <w:rsid w:val="00C77AAD"/>
    <w:rsid w:val="00C8683B"/>
    <w:rsid w:val="00C927F1"/>
    <w:rsid w:val="00C9419D"/>
    <w:rsid w:val="00C956A2"/>
    <w:rsid w:val="00CA1F70"/>
    <w:rsid w:val="00CA287C"/>
    <w:rsid w:val="00CA2C9D"/>
    <w:rsid w:val="00CA38DE"/>
    <w:rsid w:val="00CC2293"/>
    <w:rsid w:val="00CC3FAA"/>
    <w:rsid w:val="00CC74C3"/>
    <w:rsid w:val="00CD6F46"/>
    <w:rsid w:val="00CE3005"/>
    <w:rsid w:val="00CE4F34"/>
    <w:rsid w:val="00CF0ABF"/>
    <w:rsid w:val="00CF58C2"/>
    <w:rsid w:val="00D05A95"/>
    <w:rsid w:val="00D164CD"/>
    <w:rsid w:val="00D21885"/>
    <w:rsid w:val="00D32E66"/>
    <w:rsid w:val="00D34660"/>
    <w:rsid w:val="00D36B49"/>
    <w:rsid w:val="00D472ED"/>
    <w:rsid w:val="00D56AA2"/>
    <w:rsid w:val="00D56D05"/>
    <w:rsid w:val="00D60742"/>
    <w:rsid w:val="00D65831"/>
    <w:rsid w:val="00D8115F"/>
    <w:rsid w:val="00D86ED8"/>
    <w:rsid w:val="00D900ED"/>
    <w:rsid w:val="00D91D38"/>
    <w:rsid w:val="00D95542"/>
    <w:rsid w:val="00D96419"/>
    <w:rsid w:val="00DA2A4E"/>
    <w:rsid w:val="00DB517A"/>
    <w:rsid w:val="00DB5783"/>
    <w:rsid w:val="00DB7C31"/>
    <w:rsid w:val="00DC1043"/>
    <w:rsid w:val="00DC1EAB"/>
    <w:rsid w:val="00DC2920"/>
    <w:rsid w:val="00DC78A0"/>
    <w:rsid w:val="00DC7F59"/>
    <w:rsid w:val="00DF38E3"/>
    <w:rsid w:val="00DF43DA"/>
    <w:rsid w:val="00E10A94"/>
    <w:rsid w:val="00E1296E"/>
    <w:rsid w:val="00E2597F"/>
    <w:rsid w:val="00E25FE3"/>
    <w:rsid w:val="00E46410"/>
    <w:rsid w:val="00E46A95"/>
    <w:rsid w:val="00E54858"/>
    <w:rsid w:val="00E54CBC"/>
    <w:rsid w:val="00E75CAA"/>
    <w:rsid w:val="00E855E9"/>
    <w:rsid w:val="00E907E9"/>
    <w:rsid w:val="00E92269"/>
    <w:rsid w:val="00E95D47"/>
    <w:rsid w:val="00EA4A0C"/>
    <w:rsid w:val="00EA7710"/>
    <w:rsid w:val="00EA799D"/>
    <w:rsid w:val="00EC43BF"/>
    <w:rsid w:val="00ED1B0B"/>
    <w:rsid w:val="00ED446F"/>
    <w:rsid w:val="00ED697D"/>
    <w:rsid w:val="00ED7FA6"/>
    <w:rsid w:val="00EE4645"/>
    <w:rsid w:val="00EE4DD7"/>
    <w:rsid w:val="00EF0DCC"/>
    <w:rsid w:val="00F04A71"/>
    <w:rsid w:val="00F05C28"/>
    <w:rsid w:val="00F14D54"/>
    <w:rsid w:val="00F20AD1"/>
    <w:rsid w:val="00F277BB"/>
    <w:rsid w:val="00F460DE"/>
    <w:rsid w:val="00F47EF5"/>
    <w:rsid w:val="00F520D6"/>
    <w:rsid w:val="00F702DD"/>
    <w:rsid w:val="00F97874"/>
    <w:rsid w:val="00FA065C"/>
    <w:rsid w:val="00FA2D68"/>
    <w:rsid w:val="00FB59CE"/>
    <w:rsid w:val="00FB78DA"/>
    <w:rsid w:val="00FC04BC"/>
    <w:rsid w:val="00FC2BAF"/>
    <w:rsid w:val="00FC6292"/>
    <w:rsid w:val="00FD3FFD"/>
    <w:rsid w:val="00FD532C"/>
    <w:rsid w:val="00FD712F"/>
    <w:rsid w:val="00FE464F"/>
    <w:rsid w:val="00FE5290"/>
    <w:rsid w:val="00FF31FA"/>
    <w:rsid w:val="00FF4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BCA271"/>
  <w15:docId w15:val="{798138BE-449B-4036-9906-A00C2B04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97F"/>
    <w:rPr>
      <w:b/>
      <w:bCs/>
    </w:rPr>
  </w:style>
  <w:style w:type="character" w:styleId="Hyperlink">
    <w:name w:val="Hyperlink"/>
    <w:basedOn w:val="DefaultParagraphFont"/>
    <w:uiPriority w:val="99"/>
    <w:unhideWhenUsed/>
    <w:rsid w:val="00AF741B"/>
    <w:rPr>
      <w:color w:val="0563C1" w:themeColor="hyperlink"/>
      <w:u w:val="single"/>
    </w:rPr>
  </w:style>
  <w:style w:type="paragraph" w:styleId="ListParagraph">
    <w:name w:val="List Paragraph"/>
    <w:basedOn w:val="Normal"/>
    <w:uiPriority w:val="34"/>
    <w:qFormat/>
    <w:rsid w:val="000D4285"/>
    <w:pPr>
      <w:ind w:left="720"/>
      <w:contextualSpacing/>
    </w:pPr>
  </w:style>
  <w:style w:type="table" w:styleId="TableGrid">
    <w:name w:val="Table Grid"/>
    <w:basedOn w:val="TableNormal"/>
    <w:uiPriority w:val="39"/>
    <w:rsid w:val="00C4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B15"/>
    <w:pPr>
      <w:tabs>
        <w:tab w:val="center" w:pos="4513"/>
        <w:tab w:val="right" w:pos="9026"/>
      </w:tabs>
      <w:spacing w:after="0" w:line="240" w:lineRule="auto"/>
    </w:pPr>
  </w:style>
  <w:style w:type="character" w:customStyle="1" w:styleId="HeaderChar">
    <w:name w:val="Header Char"/>
    <w:basedOn w:val="DefaultParagraphFont"/>
    <w:link w:val="Header"/>
    <w:rsid w:val="00851B15"/>
  </w:style>
  <w:style w:type="paragraph" w:styleId="Footer">
    <w:name w:val="footer"/>
    <w:basedOn w:val="Normal"/>
    <w:link w:val="FooterChar"/>
    <w:uiPriority w:val="99"/>
    <w:unhideWhenUsed/>
    <w:rsid w:val="00851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15"/>
  </w:style>
  <w:style w:type="paragraph" w:styleId="BalloonText">
    <w:name w:val="Balloon Text"/>
    <w:basedOn w:val="Normal"/>
    <w:link w:val="BalloonTextChar"/>
    <w:uiPriority w:val="99"/>
    <w:semiHidden/>
    <w:unhideWhenUsed/>
    <w:rsid w:val="00A4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B7"/>
    <w:rPr>
      <w:rFonts w:ascii="Segoe UI" w:hAnsi="Segoe UI" w:cs="Segoe UI"/>
      <w:sz w:val="18"/>
      <w:szCs w:val="18"/>
    </w:rPr>
  </w:style>
  <w:style w:type="character" w:styleId="CommentReference">
    <w:name w:val="annotation reference"/>
    <w:basedOn w:val="DefaultParagraphFont"/>
    <w:uiPriority w:val="99"/>
    <w:semiHidden/>
    <w:unhideWhenUsed/>
    <w:rsid w:val="003B74DF"/>
    <w:rPr>
      <w:sz w:val="16"/>
      <w:szCs w:val="16"/>
    </w:rPr>
  </w:style>
  <w:style w:type="paragraph" w:styleId="CommentText">
    <w:name w:val="annotation text"/>
    <w:basedOn w:val="Normal"/>
    <w:link w:val="CommentTextChar"/>
    <w:uiPriority w:val="99"/>
    <w:semiHidden/>
    <w:unhideWhenUsed/>
    <w:rsid w:val="003B74DF"/>
    <w:pPr>
      <w:spacing w:line="240" w:lineRule="auto"/>
    </w:pPr>
    <w:rPr>
      <w:sz w:val="20"/>
      <w:szCs w:val="20"/>
    </w:rPr>
  </w:style>
  <w:style w:type="character" w:customStyle="1" w:styleId="CommentTextChar">
    <w:name w:val="Comment Text Char"/>
    <w:basedOn w:val="DefaultParagraphFont"/>
    <w:link w:val="CommentText"/>
    <w:uiPriority w:val="99"/>
    <w:semiHidden/>
    <w:rsid w:val="003B74DF"/>
    <w:rPr>
      <w:sz w:val="20"/>
      <w:szCs w:val="20"/>
    </w:rPr>
  </w:style>
  <w:style w:type="paragraph" w:styleId="CommentSubject">
    <w:name w:val="annotation subject"/>
    <w:basedOn w:val="CommentText"/>
    <w:next w:val="CommentText"/>
    <w:link w:val="CommentSubjectChar"/>
    <w:uiPriority w:val="99"/>
    <w:semiHidden/>
    <w:unhideWhenUsed/>
    <w:rsid w:val="003B74DF"/>
    <w:rPr>
      <w:b/>
      <w:bCs/>
    </w:rPr>
  </w:style>
  <w:style w:type="character" w:customStyle="1" w:styleId="CommentSubjectChar">
    <w:name w:val="Comment Subject Char"/>
    <w:basedOn w:val="CommentTextChar"/>
    <w:link w:val="CommentSubject"/>
    <w:uiPriority w:val="99"/>
    <w:semiHidden/>
    <w:rsid w:val="003B74DF"/>
    <w:rPr>
      <w:b/>
      <w:bCs/>
      <w:sz w:val="20"/>
      <w:szCs w:val="20"/>
    </w:rPr>
  </w:style>
  <w:style w:type="paragraph" w:styleId="NoSpacing">
    <w:name w:val="No Spacing"/>
    <w:uiPriority w:val="1"/>
    <w:qFormat/>
    <w:rsid w:val="00B467C8"/>
    <w:pPr>
      <w:spacing w:after="0" w:line="240" w:lineRule="auto"/>
    </w:pPr>
  </w:style>
  <w:style w:type="character" w:customStyle="1" w:styleId="fontstyle21">
    <w:name w:val="fontstyle21"/>
    <w:basedOn w:val="DefaultParagraphFont"/>
    <w:rsid w:val="00732765"/>
    <w:rPr>
      <w:rFonts w:ascii="Futura PT Book" w:hAnsi="Futura PT Book" w:hint="default"/>
      <w:b w:val="0"/>
      <w:bCs w:val="0"/>
      <w:i w:val="0"/>
      <w:iCs w:val="0"/>
      <w:color w:val="002A5C"/>
      <w:sz w:val="18"/>
      <w:szCs w:val="18"/>
    </w:rPr>
  </w:style>
  <w:style w:type="table" w:customStyle="1" w:styleId="TableGrid1">
    <w:name w:val="Table Grid1"/>
    <w:basedOn w:val="TableNormal"/>
    <w:next w:val="TableGrid"/>
    <w:uiPriority w:val="39"/>
    <w:rsid w:val="000E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525">
      <w:bodyDiv w:val="1"/>
      <w:marLeft w:val="0"/>
      <w:marRight w:val="0"/>
      <w:marTop w:val="0"/>
      <w:marBottom w:val="0"/>
      <w:divBdr>
        <w:top w:val="none" w:sz="0" w:space="0" w:color="auto"/>
        <w:left w:val="none" w:sz="0" w:space="0" w:color="auto"/>
        <w:bottom w:val="none" w:sz="0" w:space="0" w:color="auto"/>
        <w:right w:val="none" w:sz="0" w:space="0" w:color="auto"/>
      </w:divBdr>
    </w:div>
    <w:div w:id="2732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O.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89892d-8ec8-403e-992d-4fc48ec87bc6">
      <Terms xmlns="http://schemas.microsoft.com/office/infopath/2007/PartnerControls"/>
    </lcf76f155ced4ddcb4097134ff3c332f>
    <TaxCatchAll xmlns="76b3c169-6269-43d9-aea4-35c9ea4a04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F460F92894A848B1A319673439B53A" ma:contentTypeVersion="16" ma:contentTypeDescription="Create a new document." ma:contentTypeScope="" ma:versionID="cda0c24611baff8a09812c14d23ca890">
  <xsd:schema xmlns:xsd="http://www.w3.org/2001/XMLSchema" xmlns:xs="http://www.w3.org/2001/XMLSchema" xmlns:p="http://schemas.microsoft.com/office/2006/metadata/properties" xmlns:ns2="76b3c169-6269-43d9-aea4-35c9ea4a04d3" xmlns:ns3="7a89892d-8ec8-403e-992d-4fc48ec87bc6" targetNamespace="http://schemas.microsoft.com/office/2006/metadata/properties" ma:root="true" ma:fieldsID="dfe8484eabe88e6872e6267e85715252" ns2:_="" ns3:_="">
    <xsd:import namespace="76b3c169-6269-43d9-aea4-35c9ea4a04d3"/>
    <xsd:import namespace="7a89892d-8ec8-403e-992d-4fc48ec87b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3c169-6269-43d9-aea4-35c9ea4a0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5f22983-451e-442b-99a1-aeecc8ef62a8}" ma:internalName="TaxCatchAll" ma:showField="CatchAllData" ma:web="76b3c169-6269-43d9-aea4-35c9ea4a0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89892d-8ec8-403e-992d-4fc48ec87b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c8a056-6c8f-413c-b7a8-45b342be37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E4E3-2FAD-4760-AB3A-7F5F523E188D}">
  <ds:schemaRefs>
    <ds:schemaRef ds:uri="http://schemas.microsoft.com/office/2006/metadata/properties"/>
    <ds:schemaRef ds:uri="http://schemas.microsoft.com/office/infopath/2007/PartnerControls"/>
    <ds:schemaRef ds:uri="7a89892d-8ec8-403e-992d-4fc48ec87bc6"/>
    <ds:schemaRef ds:uri="76b3c169-6269-43d9-aea4-35c9ea4a04d3"/>
  </ds:schemaRefs>
</ds:datastoreItem>
</file>

<file path=customXml/itemProps2.xml><?xml version="1.0" encoding="utf-8"?>
<ds:datastoreItem xmlns:ds="http://schemas.openxmlformats.org/officeDocument/2006/customXml" ds:itemID="{3780E3CF-CC89-4B25-8BBB-33FE4570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3c169-6269-43d9-aea4-35c9ea4a04d3"/>
    <ds:schemaRef ds:uri="7a89892d-8ec8-403e-992d-4fc48ec87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F3178-1702-41FB-8A1D-B06BBF2DA1E6}">
  <ds:schemaRefs>
    <ds:schemaRef ds:uri="http://schemas.microsoft.com/sharepoint/v3/contenttype/forms"/>
  </ds:schemaRefs>
</ds:datastoreItem>
</file>

<file path=customXml/itemProps4.xml><?xml version="1.0" encoding="utf-8"?>
<ds:datastoreItem xmlns:ds="http://schemas.openxmlformats.org/officeDocument/2006/customXml" ds:itemID="{33FE0029-D7C6-4841-9719-4AC5E404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FMO</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Allon-van Veelen</dc:creator>
  <cp:keywords/>
  <dc:description/>
  <cp:lastModifiedBy>Josh Asmah</cp:lastModifiedBy>
  <cp:revision>2</cp:revision>
  <cp:lastPrinted>2020-01-17T12:41:00Z</cp:lastPrinted>
  <dcterms:created xsi:type="dcterms:W3CDTF">2023-03-22T15:39:00Z</dcterms:created>
  <dcterms:modified xsi:type="dcterms:W3CDTF">2023-03-22T15:39:00Z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0x010100D5F460F92894A848B1A319673439B53A</vt:lpwstr>
  </property>
</Properties>
</file>